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FB44" w14:textId="22B9050C" w:rsidR="00894C55" w:rsidRPr="0001268A" w:rsidRDefault="005B080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01268A">
        <w:rPr>
          <w:rFonts w:ascii="Times New Roman" w:eastAsia="Times New Roman" w:hAnsi="Times New Roman" w:cs="Times New Roman"/>
          <w:b/>
          <w:bCs/>
          <w:sz w:val="24"/>
          <w:szCs w:val="24"/>
          <w:lang w:eastAsia="lv-LV"/>
        </w:rPr>
        <w:t>Likumprojekta “Grozījum</w:t>
      </w:r>
      <w:r w:rsidR="00636B73">
        <w:rPr>
          <w:rFonts w:ascii="Times New Roman" w:eastAsia="Times New Roman" w:hAnsi="Times New Roman" w:cs="Times New Roman"/>
          <w:b/>
          <w:bCs/>
          <w:sz w:val="24"/>
          <w:szCs w:val="24"/>
          <w:lang w:eastAsia="lv-LV"/>
        </w:rPr>
        <w:t>s</w:t>
      </w:r>
      <w:r w:rsidRPr="0001268A">
        <w:rPr>
          <w:rFonts w:ascii="Times New Roman" w:eastAsia="Times New Roman" w:hAnsi="Times New Roman" w:cs="Times New Roman"/>
          <w:b/>
          <w:bCs/>
          <w:sz w:val="24"/>
          <w:szCs w:val="24"/>
          <w:lang w:eastAsia="lv-LV"/>
        </w:rPr>
        <w:t xml:space="preserve"> Sauszemes transportlīdzekļu īpašnieku civiltiesiskās atbildības </w:t>
      </w:r>
      <w:r w:rsidR="00503C1E">
        <w:rPr>
          <w:rFonts w:ascii="Times New Roman" w:eastAsia="Times New Roman" w:hAnsi="Times New Roman" w:cs="Times New Roman"/>
          <w:b/>
          <w:bCs/>
          <w:sz w:val="24"/>
          <w:szCs w:val="24"/>
          <w:lang w:eastAsia="lv-LV"/>
        </w:rPr>
        <w:t xml:space="preserve">obligātās </w:t>
      </w:r>
      <w:r w:rsidRPr="0001268A">
        <w:rPr>
          <w:rFonts w:ascii="Times New Roman" w:eastAsia="Times New Roman" w:hAnsi="Times New Roman" w:cs="Times New Roman"/>
          <w:b/>
          <w:bCs/>
          <w:sz w:val="24"/>
          <w:szCs w:val="24"/>
          <w:lang w:eastAsia="lv-LV"/>
        </w:rPr>
        <w:t xml:space="preserve">apdrošināšanas likumā” </w:t>
      </w:r>
      <w:r w:rsidR="00894C55" w:rsidRPr="0001268A">
        <w:rPr>
          <w:rFonts w:ascii="Times New Roman" w:eastAsia="Times New Roman" w:hAnsi="Times New Roman" w:cs="Times New Roman"/>
          <w:b/>
          <w:bCs/>
          <w:sz w:val="24"/>
          <w:szCs w:val="24"/>
          <w:lang w:eastAsia="lv-LV"/>
        </w:rPr>
        <w:t>sākotnējās ietekmes novērtējuma ziņojums (anotācija)</w:t>
      </w:r>
    </w:p>
    <w:p w14:paraId="7EEA2622" w14:textId="77777777" w:rsidR="00E5323B" w:rsidRPr="0001268A"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5"/>
      </w:tblGrid>
      <w:tr w:rsidR="0001268A" w:rsidRPr="0001268A" w14:paraId="7CAF386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C5DCA9" w14:textId="77777777" w:rsidR="00655F2C" w:rsidRPr="0001268A" w:rsidRDefault="00E5323B" w:rsidP="00E5323B">
            <w:pPr>
              <w:spacing w:after="0" w:line="240" w:lineRule="auto"/>
              <w:rPr>
                <w:rFonts w:ascii="Times New Roman" w:eastAsia="Times New Roman" w:hAnsi="Times New Roman" w:cs="Times New Roman"/>
                <w:b/>
                <w:bCs/>
                <w:iCs/>
                <w:sz w:val="24"/>
                <w:szCs w:val="24"/>
                <w:lang w:val="sv-SE" w:eastAsia="lv-LV"/>
              </w:rPr>
            </w:pPr>
            <w:r w:rsidRPr="0001268A">
              <w:rPr>
                <w:rFonts w:ascii="Times New Roman" w:eastAsia="Times New Roman" w:hAnsi="Times New Roman" w:cs="Times New Roman"/>
                <w:b/>
                <w:bCs/>
                <w:iCs/>
                <w:sz w:val="24"/>
                <w:szCs w:val="24"/>
                <w:lang w:val="sv-SE" w:eastAsia="lv-LV"/>
              </w:rPr>
              <w:t>Tiesību akta projekta anotācijas kopsavilkums</w:t>
            </w:r>
          </w:p>
        </w:tc>
      </w:tr>
      <w:tr w:rsidR="0001268A" w:rsidRPr="003A01DF" w14:paraId="780F37E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13AEBE" w14:textId="77777777" w:rsidR="00E5323B" w:rsidRPr="003A01DF" w:rsidRDefault="00E5323B" w:rsidP="00E5323B">
            <w:pPr>
              <w:spacing w:after="0" w:line="240" w:lineRule="auto"/>
              <w:rPr>
                <w:rFonts w:ascii="Times New Roman" w:eastAsia="Times New Roman" w:hAnsi="Times New Roman" w:cs="Times New Roman"/>
                <w:iCs/>
                <w:sz w:val="24"/>
                <w:szCs w:val="24"/>
                <w:lang w:val="sv-SE" w:eastAsia="lv-LV"/>
              </w:rPr>
            </w:pPr>
            <w:r w:rsidRPr="003A01D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0AE2B0A" w14:textId="090B3C1C" w:rsidR="0041431F" w:rsidRPr="003A01DF" w:rsidRDefault="0041431F" w:rsidP="0041431F">
            <w:pPr>
              <w:jc w:val="both"/>
              <w:rPr>
                <w:rFonts w:ascii="Times New Roman" w:hAnsi="Times New Roman" w:cs="Times New Roman"/>
                <w:bCs/>
                <w:sz w:val="24"/>
                <w:szCs w:val="24"/>
              </w:rPr>
            </w:pPr>
            <w:r w:rsidRPr="003A01DF">
              <w:rPr>
                <w:rFonts w:ascii="Times New Roman" w:eastAsia="Times New Roman" w:hAnsi="Times New Roman" w:cs="Times New Roman"/>
                <w:iCs/>
                <w:sz w:val="24"/>
                <w:szCs w:val="24"/>
                <w:lang w:eastAsia="lv-LV"/>
              </w:rPr>
              <w:t xml:space="preserve">Likumprojekta mērķis ir atbilstoši </w:t>
            </w:r>
            <w:r w:rsidRPr="003A01DF">
              <w:rPr>
                <w:rFonts w:ascii="Times New Roman" w:hAnsi="Times New Roman" w:cs="Times New Roman"/>
                <w:bCs/>
                <w:sz w:val="24"/>
                <w:szCs w:val="24"/>
              </w:rPr>
              <w:t xml:space="preserve">Eiropas Parlamenta un Padomes 2009. gada 16. septembra direktīvas 2009/103/EK </w:t>
            </w:r>
            <w:r w:rsidR="009E4A8B" w:rsidRPr="003A01DF">
              <w:rPr>
                <w:rFonts w:ascii="Times New Roman" w:hAnsi="Times New Roman"/>
                <w:bCs/>
                <w:i/>
                <w:sz w:val="24"/>
                <w:szCs w:val="24"/>
              </w:rPr>
              <w:t>par civiltiesiskās atbildības apdrošināšanu saistībā ar mehānisko transportlīdzekļu izmantošanu un kontroli saistībā ar pienākumu apdrošināt šādu atbildību</w:t>
            </w:r>
            <w:r w:rsidR="009E4A8B" w:rsidRPr="003A01DF">
              <w:rPr>
                <w:rFonts w:ascii="Times New Roman" w:hAnsi="Times New Roman"/>
                <w:bCs/>
                <w:sz w:val="24"/>
                <w:szCs w:val="24"/>
              </w:rPr>
              <w:t xml:space="preserve"> </w:t>
            </w:r>
            <w:r w:rsidRPr="003A01DF">
              <w:rPr>
                <w:rFonts w:ascii="Times New Roman" w:hAnsi="Times New Roman" w:cs="Times New Roman"/>
                <w:bCs/>
                <w:sz w:val="24"/>
                <w:szCs w:val="24"/>
              </w:rPr>
              <w:t>5.</w:t>
            </w:r>
            <w:r w:rsidR="005E125B" w:rsidRPr="003A01DF">
              <w:rPr>
                <w:rFonts w:ascii="Times New Roman" w:hAnsi="Times New Roman" w:cs="Times New Roman"/>
                <w:bCs/>
                <w:sz w:val="24"/>
                <w:szCs w:val="24"/>
              </w:rPr>
              <w:t xml:space="preserve"> </w:t>
            </w:r>
            <w:r w:rsidRPr="003A01DF">
              <w:rPr>
                <w:rFonts w:ascii="Times New Roman" w:hAnsi="Times New Roman" w:cs="Times New Roman"/>
                <w:bCs/>
                <w:sz w:val="24"/>
                <w:szCs w:val="24"/>
              </w:rPr>
              <w:t xml:space="preserve">panta </w:t>
            </w:r>
            <w:r w:rsidR="009E4A8B" w:rsidRPr="003A01DF">
              <w:rPr>
                <w:rFonts w:ascii="Times New Roman" w:hAnsi="Times New Roman" w:cs="Times New Roman"/>
                <w:bCs/>
                <w:sz w:val="24"/>
                <w:szCs w:val="24"/>
              </w:rPr>
              <w:t>2.</w:t>
            </w:r>
            <w:r w:rsidR="005E125B" w:rsidRPr="003A01DF">
              <w:rPr>
                <w:rFonts w:ascii="Times New Roman" w:hAnsi="Times New Roman" w:cs="Times New Roman"/>
                <w:bCs/>
                <w:sz w:val="24"/>
                <w:szCs w:val="24"/>
              </w:rPr>
              <w:t xml:space="preserve"> </w:t>
            </w:r>
            <w:r w:rsidR="009E4A8B" w:rsidRPr="003A01DF">
              <w:rPr>
                <w:rFonts w:ascii="Times New Roman" w:hAnsi="Times New Roman" w:cs="Times New Roman"/>
                <w:bCs/>
                <w:sz w:val="24"/>
                <w:szCs w:val="24"/>
              </w:rPr>
              <w:t>punktā</w:t>
            </w:r>
            <w:r w:rsidRPr="003A01DF">
              <w:rPr>
                <w:rFonts w:ascii="Times New Roman" w:hAnsi="Times New Roman" w:cs="Times New Roman"/>
                <w:bCs/>
                <w:sz w:val="24"/>
                <w:szCs w:val="24"/>
              </w:rPr>
              <w:t xml:space="preserve"> paredzētajai rīcības brīvībai </w:t>
            </w:r>
            <w:r w:rsidRPr="003A01DF">
              <w:rPr>
                <w:rFonts w:ascii="Times New Roman" w:eastAsia="Times New Roman" w:hAnsi="Times New Roman" w:cs="Times New Roman"/>
                <w:iCs/>
                <w:sz w:val="24"/>
                <w:szCs w:val="24"/>
                <w:lang w:eastAsia="lv-LV"/>
              </w:rPr>
              <w:t xml:space="preserve">noteikt izņēmumu no sauszemes transportlīdzekļu īpašnieku civiltiesiskās atbildības </w:t>
            </w:r>
            <w:r w:rsidRPr="003A01DF">
              <w:rPr>
                <w:rFonts w:ascii="Times New Roman" w:hAnsi="Times New Roman" w:cs="Times New Roman"/>
                <w:bCs/>
                <w:sz w:val="24"/>
                <w:szCs w:val="24"/>
              </w:rPr>
              <w:t xml:space="preserve">obligātās apdrošināšanas </w:t>
            </w:r>
            <w:r w:rsidRPr="003A01DF">
              <w:rPr>
                <w:rFonts w:ascii="Times New Roman" w:eastAsia="Times New Roman" w:hAnsi="Times New Roman" w:cs="Times New Roman"/>
                <w:iCs/>
                <w:sz w:val="24"/>
                <w:szCs w:val="24"/>
                <w:lang w:eastAsia="lv-LV"/>
              </w:rPr>
              <w:t xml:space="preserve">attiecībā uz </w:t>
            </w:r>
            <w:r w:rsidR="008E6954" w:rsidRPr="003A01DF">
              <w:rPr>
                <w:rFonts w:ascii="Times New Roman" w:eastAsia="Times New Roman" w:hAnsi="Times New Roman" w:cs="Times New Roman"/>
                <w:iCs/>
                <w:sz w:val="24"/>
                <w:szCs w:val="24"/>
                <w:lang w:eastAsia="lv-LV"/>
              </w:rPr>
              <w:t xml:space="preserve">Nacionālo bruņoto spēku </w:t>
            </w:r>
            <w:r w:rsidRPr="003A01DF">
              <w:rPr>
                <w:rFonts w:ascii="Times New Roman" w:eastAsia="Times New Roman" w:hAnsi="Times New Roman" w:cs="Times New Roman"/>
                <w:iCs/>
                <w:sz w:val="24"/>
                <w:szCs w:val="24"/>
                <w:lang w:eastAsia="lv-LV"/>
              </w:rPr>
              <w:t>speciāl</w:t>
            </w:r>
            <w:r w:rsidR="00636B73">
              <w:rPr>
                <w:rFonts w:ascii="Times New Roman" w:eastAsia="Times New Roman" w:hAnsi="Times New Roman" w:cs="Times New Roman"/>
                <w:iCs/>
                <w:sz w:val="24"/>
                <w:szCs w:val="24"/>
                <w:lang w:eastAsia="lv-LV"/>
              </w:rPr>
              <w:t>ās</w:t>
            </w:r>
            <w:r w:rsidRPr="003A01DF">
              <w:rPr>
                <w:rFonts w:ascii="Times New Roman" w:eastAsia="Times New Roman" w:hAnsi="Times New Roman" w:cs="Times New Roman"/>
                <w:iCs/>
                <w:sz w:val="24"/>
                <w:szCs w:val="24"/>
                <w:lang w:eastAsia="lv-LV"/>
              </w:rPr>
              <w:t xml:space="preserve"> militā</w:t>
            </w:r>
            <w:r w:rsidR="00636B73">
              <w:rPr>
                <w:rFonts w:ascii="Times New Roman" w:eastAsia="Times New Roman" w:hAnsi="Times New Roman" w:cs="Times New Roman"/>
                <w:iCs/>
                <w:sz w:val="24"/>
                <w:szCs w:val="24"/>
                <w:lang w:eastAsia="lv-LV"/>
              </w:rPr>
              <w:t>rās</w:t>
            </w:r>
            <w:r w:rsidRPr="003A01DF">
              <w:rPr>
                <w:rFonts w:ascii="Times New Roman" w:eastAsia="Times New Roman" w:hAnsi="Times New Roman" w:cs="Times New Roman"/>
                <w:iCs/>
                <w:sz w:val="24"/>
                <w:szCs w:val="24"/>
                <w:lang w:eastAsia="lv-LV"/>
              </w:rPr>
              <w:t xml:space="preserve"> tehnik</w:t>
            </w:r>
            <w:r w:rsidR="001323B6">
              <w:rPr>
                <w:rFonts w:ascii="Times New Roman" w:eastAsia="Times New Roman" w:hAnsi="Times New Roman" w:cs="Times New Roman"/>
                <w:iCs/>
                <w:sz w:val="24"/>
                <w:szCs w:val="24"/>
                <w:lang w:eastAsia="lv-LV"/>
              </w:rPr>
              <w:t>as piekabēm</w:t>
            </w:r>
            <w:r w:rsidR="00A80972">
              <w:rPr>
                <w:rFonts w:ascii="Times New Roman" w:eastAsia="Times New Roman" w:hAnsi="Times New Roman" w:cs="Times New Roman"/>
                <w:iCs/>
                <w:sz w:val="24"/>
                <w:szCs w:val="24"/>
                <w:lang w:eastAsia="lv-LV"/>
              </w:rPr>
              <w:t xml:space="preserve"> (turpmāk – speciālās militārās tehnikas piekabes)</w:t>
            </w:r>
            <w:r w:rsidRPr="003A01DF">
              <w:rPr>
                <w:rFonts w:ascii="Times New Roman" w:hAnsi="Times New Roman" w:cs="Times New Roman"/>
                <w:bCs/>
                <w:sz w:val="24"/>
                <w:szCs w:val="24"/>
              </w:rPr>
              <w:t>. Latvijas Republikai par to jāinformē Eiropas Komisija</w:t>
            </w:r>
            <w:r w:rsidR="00A80972">
              <w:rPr>
                <w:rFonts w:ascii="Times New Roman" w:hAnsi="Times New Roman" w:cs="Times New Roman"/>
                <w:bCs/>
                <w:sz w:val="24"/>
                <w:szCs w:val="24"/>
              </w:rPr>
              <w:t xml:space="preserve"> un pārejās Eiropas Savienības dalībvalstis</w:t>
            </w:r>
            <w:r w:rsidRPr="003A01DF">
              <w:rPr>
                <w:rFonts w:ascii="Times New Roman" w:hAnsi="Times New Roman" w:cs="Times New Roman"/>
                <w:bCs/>
                <w:sz w:val="24"/>
                <w:szCs w:val="24"/>
              </w:rPr>
              <w:t>.</w:t>
            </w:r>
          </w:p>
          <w:p w14:paraId="33239B72" w14:textId="26A68871" w:rsidR="0041431F" w:rsidRPr="00F9702C" w:rsidRDefault="00636B73" w:rsidP="00666E23">
            <w:pPr>
              <w:tabs>
                <w:tab w:val="left" w:pos="874"/>
              </w:tabs>
              <w:spacing w:after="0" w:line="240" w:lineRule="auto"/>
              <w:jc w:val="both"/>
              <w:rPr>
                <w:rFonts w:ascii="Times New Roman" w:eastAsia="Times New Roman" w:hAnsi="Times New Roman" w:cs="Times New Roman"/>
                <w:iCs/>
                <w:sz w:val="24"/>
                <w:szCs w:val="24"/>
                <w:lang w:eastAsia="lv-LV"/>
              </w:rPr>
            </w:pPr>
            <w:r w:rsidRPr="000F1876">
              <w:rPr>
                <w:rFonts w:ascii="Times New Roman" w:eastAsia="Times New Roman" w:hAnsi="Times New Roman" w:cs="Times New Roman"/>
                <w:iCs/>
                <w:sz w:val="24"/>
                <w:szCs w:val="24"/>
                <w:lang w:eastAsia="lv-LV"/>
              </w:rPr>
              <w:t>Likumprojekts stāsies spēkā atbilstoši Oficiālo</w:t>
            </w:r>
            <w:r w:rsidRPr="00DB2082">
              <w:rPr>
                <w:rFonts w:ascii="Times New Roman" w:eastAsia="Times New Roman" w:hAnsi="Times New Roman" w:cs="Times New Roman"/>
                <w:iCs/>
                <w:sz w:val="24"/>
                <w:szCs w:val="24"/>
                <w:lang w:eastAsia="lv-LV"/>
              </w:rPr>
              <w:t xml:space="preserve"> publikāciju un tiesiskās informācijas likuma 4. pantam.</w:t>
            </w:r>
          </w:p>
        </w:tc>
      </w:tr>
    </w:tbl>
    <w:p w14:paraId="7ADFC046" w14:textId="77777777" w:rsidR="00E5323B" w:rsidRPr="003A01DF" w:rsidRDefault="00E5323B" w:rsidP="00E5323B">
      <w:pPr>
        <w:spacing w:after="0" w:line="240" w:lineRule="auto"/>
        <w:rPr>
          <w:rFonts w:ascii="Times New Roman" w:eastAsia="Times New Roman" w:hAnsi="Times New Roman" w:cs="Times New Roman"/>
          <w:iCs/>
          <w:sz w:val="24"/>
          <w:szCs w:val="24"/>
          <w:lang w:val="sv-SE" w:eastAsia="lv-LV"/>
        </w:rPr>
      </w:pPr>
      <w:r w:rsidRPr="003A01D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5A5B79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04246" w14:textId="77777777" w:rsidR="00655F2C" w:rsidRPr="003A01DF" w:rsidRDefault="00E5323B" w:rsidP="00E5323B">
            <w:pPr>
              <w:spacing w:after="0" w:line="240" w:lineRule="auto"/>
              <w:rPr>
                <w:rFonts w:ascii="Times New Roman" w:eastAsia="Times New Roman" w:hAnsi="Times New Roman" w:cs="Times New Roman"/>
                <w:b/>
                <w:bCs/>
                <w:iCs/>
                <w:sz w:val="24"/>
                <w:szCs w:val="24"/>
                <w:lang w:val="sv-SE" w:eastAsia="lv-LV"/>
              </w:rPr>
            </w:pPr>
            <w:r w:rsidRPr="003A01DF">
              <w:rPr>
                <w:rFonts w:ascii="Times New Roman" w:eastAsia="Times New Roman" w:hAnsi="Times New Roman" w:cs="Times New Roman"/>
                <w:b/>
                <w:bCs/>
                <w:iCs/>
                <w:sz w:val="24"/>
                <w:szCs w:val="24"/>
                <w:lang w:val="sv-SE" w:eastAsia="lv-LV"/>
              </w:rPr>
              <w:t>I. Tiesību akta projekta izstrādes nepieciešamība</w:t>
            </w:r>
          </w:p>
        </w:tc>
      </w:tr>
      <w:tr w:rsidR="0001268A" w:rsidRPr="003A01DF" w14:paraId="57056E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4103D"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FB61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F9B0EF" w14:textId="32805B6D" w:rsidR="0041431F" w:rsidRPr="003A01DF" w:rsidRDefault="00E255C6" w:rsidP="00636B73">
            <w:pPr>
              <w:spacing w:after="0" w:line="240" w:lineRule="auto"/>
              <w:ind w:firstLine="395"/>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Aizsardzības ministrijas </w:t>
            </w:r>
            <w:r w:rsidR="00666E23">
              <w:rPr>
                <w:rFonts w:ascii="Times New Roman" w:eastAsia="Times New Roman" w:hAnsi="Times New Roman" w:cs="Times New Roman"/>
                <w:iCs/>
                <w:sz w:val="24"/>
                <w:szCs w:val="24"/>
                <w:lang w:eastAsia="lv-LV"/>
              </w:rPr>
              <w:t xml:space="preserve">un Nacionālo bruņoto spēku </w:t>
            </w:r>
            <w:r w:rsidR="000A7D4F" w:rsidRPr="003A01DF">
              <w:rPr>
                <w:rFonts w:ascii="Times New Roman" w:eastAsia="Times New Roman" w:hAnsi="Times New Roman" w:cs="Times New Roman"/>
                <w:iCs/>
                <w:sz w:val="24"/>
                <w:szCs w:val="24"/>
                <w:lang w:eastAsia="lv-LV"/>
              </w:rPr>
              <w:t xml:space="preserve">iniciatīva. </w:t>
            </w:r>
          </w:p>
        </w:tc>
      </w:tr>
      <w:tr w:rsidR="0001268A" w:rsidRPr="003A01DF" w14:paraId="2031B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76C938"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121A6D" w14:textId="4D113F25" w:rsidR="006B5160"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8C5154" w14:textId="77777777" w:rsidR="006B5160" w:rsidRPr="003A01DF" w:rsidRDefault="006B5160" w:rsidP="006B5160">
            <w:pPr>
              <w:rPr>
                <w:rFonts w:ascii="Times New Roman" w:eastAsia="Times New Roman" w:hAnsi="Times New Roman" w:cs="Times New Roman"/>
                <w:sz w:val="24"/>
                <w:szCs w:val="24"/>
                <w:lang w:eastAsia="lv-LV"/>
              </w:rPr>
            </w:pPr>
          </w:p>
          <w:p w14:paraId="0144457E" w14:textId="77777777" w:rsidR="006B5160" w:rsidRPr="003A01DF" w:rsidRDefault="006B5160" w:rsidP="006B5160">
            <w:pPr>
              <w:rPr>
                <w:rFonts w:ascii="Times New Roman" w:eastAsia="Times New Roman" w:hAnsi="Times New Roman" w:cs="Times New Roman"/>
                <w:sz w:val="24"/>
                <w:szCs w:val="24"/>
                <w:lang w:eastAsia="lv-LV"/>
              </w:rPr>
            </w:pPr>
          </w:p>
          <w:p w14:paraId="08B6DA37" w14:textId="77777777" w:rsidR="006B5160" w:rsidRPr="003A01DF" w:rsidRDefault="006B5160" w:rsidP="006B5160">
            <w:pPr>
              <w:rPr>
                <w:rFonts w:ascii="Times New Roman" w:eastAsia="Times New Roman" w:hAnsi="Times New Roman" w:cs="Times New Roman"/>
                <w:sz w:val="24"/>
                <w:szCs w:val="24"/>
                <w:lang w:eastAsia="lv-LV"/>
              </w:rPr>
            </w:pPr>
          </w:p>
          <w:p w14:paraId="0C8B4404" w14:textId="77777777" w:rsidR="006B5160" w:rsidRPr="003A01DF" w:rsidRDefault="006B5160" w:rsidP="006B5160">
            <w:pPr>
              <w:rPr>
                <w:rFonts w:ascii="Times New Roman" w:eastAsia="Times New Roman" w:hAnsi="Times New Roman" w:cs="Times New Roman"/>
                <w:sz w:val="24"/>
                <w:szCs w:val="24"/>
                <w:lang w:eastAsia="lv-LV"/>
              </w:rPr>
            </w:pPr>
          </w:p>
          <w:p w14:paraId="505D8AAC" w14:textId="77777777" w:rsidR="006B5160" w:rsidRPr="003A01DF" w:rsidRDefault="006B5160" w:rsidP="006B5160">
            <w:pPr>
              <w:rPr>
                <w:rFonts w:ascii="Times New Roman" w:eastAsia="Times New Roman" w:hAnsi="Times New Roman" w:cs="Times New Roman"/>
                <w:sz w:val="24"/>
                <w:szCs w:val="24"/>
                <w:lang w:eastAsia="lv-LV"/>
              </w:rPr>
            </w:pPr>
          </w:p>
          <w:p w14:paraId="55007B9F" w14:textId="77777777" w:rsidR="006B5160" w:rsidRPr="003A01DF" w:rsidRDefault="006B5160" w:rsidP="006B5160">
            <w:pPr>
              <w:rPr>
                <w:rFonts w:ascii="Times New Roman" w:eastAsia="Times New Roman" w:hAnsi="Times New Roman" w:cs="Times New Roman"/>
                <w:sz w:val="24"/>
                <w:szCs w:val="24"/>
                <w:lang w:eastAsia="lv-LV"/>
              </w:rPr>
            </w:pPr>
          </w:p>
          <w:p w14:paraId="47B5E1B6" w14:textId="77777777" w:rsidR="006B5160" w:rsidRPr="003A01DF" w:rsidRDefault="006B5160" w:rsidP="006B5160">
            <w:pPr>
              <w:rPr>
                <w:rFonts w:ascii="Times New Roman" w:eastAsia="Times New Roman" w:hAnsi="Times New Roman" w:cs="Times New Roman"/>
                <w:sz w:val="24"/>
                <w:szCs w:val="24"/>
                <w:lang w:eastAsia="lv-LV"/>
              </w:rPr>
            </w:pPr>
          </w:p>
          <w:p w14:paraId="5FFEE38C" w14:textId="77777777" w:rsidR="006B5160" w:rsidRPr="003A01DF" w:rsidRDefault="006B5160" w:rsidP="006B5160">
            <w:pPr>
              <w:rPr>
                <w:rFonts w:ascii="Times New Roman" w:eastAsia="Times New Roman" w:hAnsi="Times New Roman" w:cs="Times New Roman"/>
                <w:sz w:val="24"/>
                <w:szCs w:val="24"/>
                <w:lang w:eastAsia="lv-LV"/>
              </w:rPr>
            </w:pPr>
          </w:p>
          <w:p w14:paraId="6797ED11" w14:textId="77777777" w:rsidR="006B5160" w:rsidRPr="003A01DF" w:rsidRDefault="006B5160" w:rsidP="006B5160">
            <w:pPr>
              <w:rPr>
                <w:rFonts w:ascii="Times New Roman" w:eastAsia="Times New Roman" w:hAnsi="Times New Roman" w:cs="Times New Roman"/>
                <w:sz w:val="24"/>
                <w:szCs w:val="24"/>
                <w:lang w:eastAsia="lv-LV"/>
              </w:rPr>
            </w:pPr>
          </w:p>
          <w:p w14:paraId="0D226195" w14:textId="77777777" w:rsidR="006B5160" w:rsidRPr="003A01DF" w:rsidRDefault="006B5160" w:rsidP="006B5160">
            <w:pPr>
              <w:rPr>
                <w:rFonts w:ascii="Times New Roman" w:eastAsia="Times New Roman" w:hAnsi="Times New Roman" w:cs="Times New Roman"/>
                <w:sz w:val="24"/>
                <w:szCs w:val="24"/>
                <w:lang w:eastAsia="lv-LV"/>
              </w:rPr>
            </w:pPr>
          </w:p>
          <w:p w14:paraId="3DC73A59" w14:textId="77777777" w:rsidR="006B5160" w:rsidRPr="003A01DF" w:rsidRDefault="006B5160" w:rsidP="006B5160">
            <w:pPr>
              <w:rPr>
                <w:rFonts w:ascii="Times New Roman" w:eastAsia="Times New Roman" w:hAnsi="Times New Roman" w:cs="Times New Roman"/>
                <w:sz w:val="24"/>
                <w:szCs w:val="24"/>
                <w:lang w:eastAsia="lv-LV"/>
              </w:rPr>
            </w:pPr>
          </w:p>
          <w:p w14:paraId="3268B581" w14:textId="77777777" w:rsidR="006B5160" w:rsidRPr="003A01DF" w:rsidRDefault="006B5160" w:rsidP="006B5160">
            <w:pPr>
              <w:rPr>
                <w:rFonts w:ascii="Times New Roman" w:eastAsia="Times New Roman" w:hAnsi="Times New Roman" w:cs="Times New Roman"/>
                <w:sz w:val="24"/>
                <w:szCs w:val="24"/>
                <w:lang w:eastAsia="lv-LV"/>
              </w:rPr>
            </w:pPr>
          </w:p>
          <w:p w14:paraId="29B049B5" w14:textId="1F1637D5" w:rsidR="00E5323B" w:rsidRPr="003A01DF" w:rsidRDefault="00E5323B" w:rsidP="006B516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tbl>
            <w:tblPr>
              <w:tblW w:w="45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16"/>
            </w:tblGrid>
            <w:tr w:rsidR="0001268A" w:rsidRPr="003A01DF" w14:paraId="6261332D" w14:textId="77777777" w:rsidTr="00C03B12">
              <w:trPr>
                <w:tblCellSpacing w:w="15" w:type="dxa"/>
              </w:trPr>
              <w:tc>
                <w:tcPr>
                  <w:tcW w:w="4941" w:type="pct"/>
                  <w:tcBorders>
                    <w:top w:val="outset" w:sz="6" w:space="0" w:color="auto"/>
                    <w:left w:val="outset" w:sz="6" w:space="0" w:color="auto"/>
                    <w:bottom w:val="outset" w:sz="6" w:space="0" w:color="auto"/>
                    <w:right w:val="outset" w:sz="6" w:space="0" w:color="auto"/>
                  </w:tcBorders>
                  <w:hideMark/>
                </w:tcPr>
                <w:p w14:paraId="2353ECA2" w14:textId="42E55891" w:rsidR="00E6602E" w:rsidRPr="00C9450C" w:rsidRDefault="00E6602E" w:rsidP="00E6602E">
                  <w:pPr>
                    <w:spacing w:after="0" w:line="240" w:lineRule="auto"/>
                    <w:ind w:firstLine="654"/>
                    <w:jc w:val="both"/>
                    <w:rPr>
                      <w:rFonts w:ascii="Times New Roman" w:eastAsia="Times New Roman" w:hAnsi="Times New Roman" w:cs="Times New Roman"/>
                      <w:sz w:val="24"/>
                      <w:szCs w:val="24"/>
                      <w:lang w:eastAsia="lv-LV"/>
                    </w:rPr>
                  </w:pPr>
                  <w:r w:rsidRPr="003A01DF">
                    <w:rPr>
                      <w:rFonts w:ascii="Times New Roman" w:hAnsi="Times New Roman" w:cs="Times New Roman"/>
                      <w:bCs/>
                      <w:sz w:val="24"/>
                      <w:szCs w:val="24"/>
                    </w:rPr>
                    <w:t xml:space="preserve">Eiropas Parlamenta un Padomes 2009. gada 16. septembra direktīvas 2009/103/EK </w:t>
                  </w:r>
                  <w:r w:rsidRPr="003A01DF">
                    <w:rPr>
                      <w:rFonts w:ascii="Times New Roman" w:hAnsi="Times New Roman"/>
                      <w:bCs/>
                      <w:i/>
                      <w:sz w:val="24"/>
                      <w:szCs w:val="24"/>
                    </w:rPr>
                    <w:t>par civiltiesiskās atbildības apdrošināšanu saistībā ar mehānisko transportlīdzekļu izmantošanu un kontroli saistībā ar pienākumu apdrošināt šādu atbildību</w:t>
                  </w:r>
                  <w:r w:rsidRPr="003A01DF">
                    <w:rPr>
                      <w:rFonts w:ascii="Times New Roman" w:hAnsi="Times New Roman"/>
                      <w:bCs/>
                      <w:sz w:val="24"/>
                      <w:szCs w:val="24"/>
                    </w:rPr>
                    <w:t xml:space="preserve"> </w:t>
                  </w:r>
                  <w:r w:rsidRPr="003A01DF">
                    <w:rPr>
                      <w:rFonts w:ascii="Times New Roman" w:hAnsi="Times New Roman" w:cs="Times New Roman"/>
                      <w:bCs/>
                      <w:sz w:val="24"/>
                      <w:szCs w:val="24"/>
                    </w:rPr>
                    <w:t>(turpmāk – Direktīva)</w:t>
                  </w:r>
                  <w:r>
                    <w:rPr>
                      <w:rFonts w:ascii="Times New Roman" w:eastAsia="Times New Roman" w:hAnsi="Times New Roman" w:cs="Times New Roman"/>
                      <w:sz w:val="24"/>
                      <w:szCs w:val="24"/>
                      <w:lang w:eastAsia="lv-LV"/>
                    </w:rPr>
                    <w:t xml:space="preserve"> </w:t>
                  </w:r>
                  <w:r w:rsidRPr="003A01DF">
                    <w:rPr>
                      <w:rFonts w:ascii="Times New Roman" w:hAnsi="Times New Roman" w:cs="Times New Roman"/>
                      <w:bCs/>
                      <w:sz w:val="24"/>
                      <w:szCs w:val="24"/>
                    </w:rPr>
                    <w:t>5. panta 2. punktā ir noteikts, ka katra dalībvalsts var atkāpties no 3. panta noteikumiem</w:t>
                  </w:r>
                  <w:r w:rsidR="00A663C2">
                    <w:rPr>
                      <w:rFonts w:ascii="Times New Roman" w:hAnsi="Times New Roman" w:cs="Times New Roman"/>
                      <w:bCs/>
                      <w:sz w:val="24"/>
                      <w:szCs w:val="24"/>
                    </w:rPr>
                    <w:t xml:space="preserve"> par transportlīdzekļa obligāto apdrošināšanu</w:t>
                  </w:r>
                  <w:r w:rsidRPr="003A01DF">
                    <w:rPr>
                      <w:rFonts w:ascii="Times New Roman" w:hAnsi="Times New Roman" w:cs="Times New Roman"/>
                      <w:bCs/>
                      <w:sz w:val="24"/>
                      <w:szCs w:val="24"/>
                    </w:rPr>
                    <w:t xml:space="preserve"> attiecībā uz dažu veidu transportlīdzekļiem vai konkrētiem transportlīdzekļiem ar speciālu zīmi. Attiecīgā valsts informē pārējās dalībvalstis un Eiropas Komisiju. </w:t>
                  </w:r>
                </w:p>
                <w:p w14:paraId="65A9CA08" w14:textId="77777777" w:rsidR="00E6602E" w:rsidRPr="003A01DF" w:rsidRDefault="00E6602E" w:rsidP="00E6602E">
                  <w:pPr>
                    <w:spacing w:after="0" w:line="240" w:lineRule="auto"/>
                    <w:ind w:firstLine="535"/>
                    <w:jc w:val="both"/>
                    <w:rPr>
                      <w:rFonts w:ascii="Times New Roman" w:hAnsi="Times New Roman" w:cs="Times New Roman"/>
                      <w:bCs/>
                      <w:sz w:val="24"/>
                      <w:szCs w:val="24"/>
                    </w:rPr>
                  </w:pPr>
                  <w:r w:rsidRPr="003A01DF">
                    <w:rPr>
                      <w:rFonts w:ascii="Times New Roman" w:hAnsi="Times New Roman" w:cs="Times New Roman"/>
                      <w:bCs/>
                      <w:sz w:val="24"/>
                      <w:szCs w:val="24"/>
                    </w:rPr>
                    <w:t>Papildus Direktīvas 5. panta 2. punktā noteikts, ka šajā gadījumā katra dalībvalsts nodrošina, ka attiecībā uz šiem transportlīdzekļiem piemēro tādu pašu režīmu kā transportlīdzekļiem, kuriem nav veikta apdrošināšana.  Direktīvas 10. panta 1. punkts nosaka, ka katra dalībvalsts izveido vai pilnvaro iestādi, kas sniegtu kompensāciju obligātās apdrošināšanas līmenī par kaitējumu īpašumam vai miesas bojājumiem negadījumos, kurus izraisījis transportlīdzeklis, kam nav veikta apdrošināšana.</w:t>
                  </w:r>
                </w:p>
                <w:p w14:paraId="3DB8842D" w14:textId="77777777" w:rsidR="00E6602E" w:rsidRPr="003A01DF" w:rsidRDefault="00E6602E" w:rsidP="00E6602E">
                  <w:pPr>
                    <w:pStyle w:val="ListParagraph"/>
                    <w:spacing w:after="0" w:line="240" w:lineRule="auto"/>
                    <w:ind w:left="0" w:firstLine="713"/>
                    <w:jc w:val="both"/>
                    <w:rPr>
                      <w:rFonts w:ascii="Times New Roman" w:hAnsi="Times New Roman" w:cs="Times New Roman"/>
                      <w:bCs/>
                      <w:sz w:val="24"/>
                      <w:szCs w:val="24"/>
                    </w:rPr>
                  </w:pPr>
                  <w:r w:rsidRPr="003A01DF">
                    <w:rPr>
                      <w:rFonts w:ascii="Times New Roman" w:eastAsia="Times New Roman" w:hAnsi="Times New Roman" w:cs="Times New Roman"/>
                      <w:iCs/>
                      <w:sz w:val="24"/>
                      <w:szCs w:val="24"/>
                      <w:lang w:eastAsia="lv-LV"/>
                    </w:rPr>
                    <w:lastRenderedPageBreak/>
                    <w:t xml:space="preserve">Direktīvas </w:t>
                  </w:r>
                  <w:r w:rsidRPr="003A01DF">
                    <w:rPr>
                      <w:rFonts w:ascii="Times New Roman" w:hAnsi="Times New Roman" w:cs="Times New Roman"/>
                      <w:bCs/>
                      <w:sz w:val="24"/>
                      <w:szCs w:val="24"/>
                    </w:rPr>
                    <w:t>9. panta 1. punkts nosaka, ka  dalībvalstij jānodrošina kompensācijas vismaz šādā apmērā:</w:t>
                  </w:r>
                </w:p>
                <w:p w14:paraId="6AB38212" w14:textId="77777777" w:rsidR="00E6602E" w:rsidRPr="003A01DF" w:rsidRDefault="00E6602E" w:rsidP="00E6602E">
                  <w:pPr>
                    <w:pStyle w:val="ListParagraph"/>
                    <w:numPr>
                      <w:ilvl w:val="0"/>
                      <w:numId w:val="3"/>
                    </w:numPr>
                    <w:spacing w:after="0" w:line="240" w:lineRule="auto"/>
                    <w:ind w:left="0" w:firstLine="709"/>
                    <w:jc w:val="both"/>
                    <w:rPr>
                      <w:rFonts w:ascii="Times New Roman" w:eastAsia="Times New Roman" w:hAnsi="Times New Roman" w:cs="Times New Roman"/>
                      <w:iCs/>
                      <w:sz w:val="24"/>
                      <w:szCs w:val="24"/>
                      <w:lang w:eastAsia="lv-LV"/>
                    </w:rPr>
                  </w:pPr>
                  <w:r w:rsidRPr="003A01DF">
                    <w:rPr>
                      <w:rFonts w:ascii="Times New Roman" w:hAnsi="Times New Roman" w:cs="Times New Roman"/>
                      <w:bCs/>
                      <w:sz w:val="24"/>
                      <w:szCs w:val="24"/>
                    </w:rPr>
                    <w:t xml:space="preserve">kompensācijas izmaksa par nodarītajiem miesas bojājumiem 1 000 000 </w:t>
                  </w:r>
                  <w:r w:rsidRPr="003A01DF">
                    <w:rPr>
                      <w:rFonts w:ascii="Times New Roman" w:hAnsi="Times New Roman" w:cs="Times New Roman"/>
                      <w:bCs/>
                      <w:i/>
                      <w:sz w:val="24"/>
                      <w:szCs w:val="24"/>
                    </w:rPr>
                    <w:t>euro</w:t>
                  </w:r>
                  <w:r w:rsidRPr="003A01DF">
                    <w:rPr>
                      <w:rFonts w:ascii="Times New Roman" w:hAnsi="Times New Roman" w:cs="Times New Roman"/>
                      <w:bCs/>
                      <w:sz w:val="24"/>
                      <w:szCs w:val="24"/>
                    </w:rPr>
                    <w:t xml:space="preserve"> katram cietušajam vai 5 000 000 </w:t>
                  </w:r>
                  <w:r w:rsidRPr="003A01DF">
                    <w:rPr>
                      <w:rFonts w:ascii="Times New Roman" w:hAnsi="Times New Roman" w:cs="Times New Roman"/>
                      <w:bCs/>
                      <w:i/>
                      <w:sz w:val="24"/>
                      <w:szCs w:val="24"/>
                    </w:rPr>
                    <w:t>euro</w:t>
                  </w:r>
                  <w:r w:rsidRPr="003A01DF">
                    <w:rPr>
                      <w:rFonts w:ascii="Times New Roman" w:hAnsi="Times New Roman" w:cs="Times New Roman"/>
                      <w:bCs/>
                      <w:sz w:val="24"/>
                      <w:szCs w:val="24"/>
                    </w:rPr>
                    <w:t xml:space="preserve"> par prasījumu neatkarīgi no cietušo skaita;</w:t>
                  </w:r>
                </w:p>
                <w:p w14:paraId="0391D093" w14:textId="77777777" w:rsidR="00E6602E" w:rsidRPr="003A01DF" w:rsidRDefault="00E6602E" w:rsidP="00E6602E">
                  <w:pPr>
                    <w:pStyle w:val="ListParagraph"/>
                    <w:numPr>
                      <w:ilvl w:val="0"/>
                      <w:numId w:val="3"/>
                    </w:numPr>
                    <w:spacing w:after="0" w:line="240" w:lineRule="auto"/>
                    <w:ind w:left="0" w:firstLine="709"/>
                    <w:jc w:val="both"/>
                    <w:rPr>
                      <w:rFonts w:ascii="Times New Roman" w:hAnsi="Times New Roman" w:cs="Times New Roman"/>
                      <w:bCs/>
                      <w:sz w:val="24"/>
                      <w:szCs w:val="24"/>
                    </w:rPr>
                  </w:pPr>
                  <w:r w:rsidRPr="003A01DF">
                    <w:rPr>
                      <w:rFonts w:ascii="Times New Roman" w:hAnsi="Times New Roman" w:cs="Times New Roman"/>
                      <w:bCs/>
                      <w:sz w:val="24"/>
                      <w:szCs w:val="24"/>
                    </w:rPr>
                    <w:t xml:space="preserve">kompensācijas izmaksa par nodarītajiem zaudējumiem īpašumam - 1 000 000 </w:t>
                  </w:r>
                  <w:r w:rsidRPr="003A01DF">
                    <w:rPr>
                      <w:rFonts w:ascii="Times New Roman" w:hAnsi="Times New Roman" w:cs="Times New Roman"/>
                      <w:bCs/>
                      <w:i/>
                      <w:sz w:val="24"/>
                      <w:szCs w:val="24"/>
                    </w:rPr>
                    <w:t>euro</w:t>
                  </w:r>
                  <w:r w:rsidRPr="003A01DF">
                    <w:rPr>
                      <w:rFonts w:ascii="Times New Roman" w:hAnsi="Times New Roman" w:cs="Times New Roman"/>
                      <w:bCs/>
                      <w:sz w:val="24"/>
                      <w:szCs w:val="24"/>
                    </w:rPr>
                    <w:t xml:space="preserve"> par prasījumu neatkarīgi no cietušo skaita.</w:t>
                  </w:r>
                </w:p>
                <w:p w14:paraId="0BFB3753" w14:textId="68BFCC7E" w:rsidR="00E6602E" w:rsidRPr="003A01DF" w:rsidRDefault="00E6602E" w:rsidP="00E6602E">
                  <w:pPr>
                    <w:pStyle w:val="tv213"/>
                    <w:spacing w:before="0" w:beforeAutospacing="0" w:after="0" w:afterAutospacing="0"/>
                    <w:ind w:firstLine="713"/>
                    <w:jc w:val="both"/>
                  </w:pPr>
                  <w:r w:rsidRPr="003A01DF">
                    <w:rPr>
                      <w:iCs/>
                    </w:rPr>
                    <w:t xml:space="preserve">Ar </w:t>
                  </w:r>
                  <w:r w:rsidRPr="003A01DF">
                    <w:rPr>
                      <w:bCs/>
                    </w:rPr>
                    <w:t>2019.</w:t>
                  </w:r>
                  <w:r>
                    <w:rPr>
                      <w:bCs/>
                    </w:rPr>
                    <w:t xml:space="preserve"> </w:t>
                  </w:r>
                  <w:r w:rsidRPr="003A01DF">
                    <w:rPr>
                      <w:bCs/>
                    </w:rPr>
                    <w:t>gada 1.</w:t>
                  </w:r>
                  <w:r>
                    <w:rPr>
                      <w:bCs/>
                    </w:rPr>
                    <w:t xml:space="preserve"> </w:t>
                  </w:r>
                  <w:r w:rsidRPr="003A01DF">
                    <w:rPr>
                      <w:bCs/>
                    </w:rPr>
                    <w:t>janvār</w:t>
                  </w:r>
                  <w:r>
                    <w:rPr>
                      <w:bCs/>
                    </w:rPr>
                    <w:t>i piemērojami</w:t>
                  </w:r>
                  <w:r w:rsidRPr="003A01DF">
                    <w:rPr>
                      <w:iCs/>
                    </w:rPr>
                    <w:t xml:space="preserve"> </w:t>
                  </w:r>
                  <w:r w:rsidRPr="00E6602E">
                    <w:rPr>
                      <w:bCs/>
                    </w:rPr>
                    <w:t>Sauszemes transportlīdzekļu īpašnieku civiltiesiskās atbildības obligātās apdrošināšanas likum</w:t>
                  </w:r>
                  <w:r w:rsidR="006C546C">
                    <w:rPr>
                      <w:bCs/>
                    </w:rPr>
                    <w:t>a</w:t>
                  </w:r>
                  <w:r w:rsidRPr="00E6602E">
                    <w:rPr>
                      <w:bCs/>
                    </w:rPr>
                    <w:t xml:space="preserve"> (turpmāk – OCTA likums)</w:t>
                  </w:r>
                  <w:r w:rsidRPr="00E6602E">
                    <w:rPr>
                      <w:iCs/>
                    </w:rPr>
                    <w:t xml:space="preserve"> </w:t>
                  </w:r>
                  <w:r w:rsidR="006C546C">
                    <w:rPr>
                      <w:iCs/>
                    </w:rPr>
                    <w:t xml:space="preserve">15. panta pirmajā daļā minētie </w:t>
                  </w:r>
                  <w:r w:rsidRPr="003A01DF">
                    <w:rPr>
                      <w:bCs/>
                    </w:rPr>
                    <w:t>apdrošinātāja atbildības limiti</w:t>
                  </w:r>
                  <w:r>
                    <w:rPr>
                      <w:bCs/>
                    </w:rPr>
                    <w:t>,</w:t>
                  </w:r>
                  <w:r w:rsidRPr="003A01DF">
                    <w:rPr>
                      <w:bCs/>
                    </w:rPr>
                    <w:t xml:space="preserve"> ņemot vērā </w:t>
                  </w:r>
                  <w:r w:rsidRPr="003A01DF">
                    <w:t xml:space="preserve">Eiropas </w:t>
                  </w:r>
                  <w:r w:rsidRPr="003A01DF">
                    <w:rPr>
                      <w:shd w:val="clear" w:color="auto" w:fill="FFFFFF"/>
                    </w:rPr>
                    <w:t>saskaņoto patēriņa cenu indeksu</w:t>
                  </w:r>
                  <w:r w:rsidRPr="003A01DF">
                    <w:t xml:space="preserve"> </w:t>
                  </w:r>
                  <w:r w:rsidRPr="003A01DF">
                    <w:rPr>
                      <w:bCs/>
                    </w:rPr>
                    <w:t xml:space="preserve">atbilstoši </w:t>
                  </w:r>
                  <w:r w:rsidRPr="003A01DF">
                    <w:t xml:space="preserve"> Direktīvas 9. panta 2. </w:t>
                  </w:r>
                  <w:r>
                    <w:t>punktam</w:t>
                  </w:r>
                  <w:r w:rsidRPr="003A01DF">
                    <w:t xml:space="preserve"> un </w:t>
                  </w:r>
                  <w:r w:rsidRPr="003A01DF">
                    <w:rPr>
                      <w:rStyle w:val="Strong"/>
                      <w:b w:val="0"/>
                      <w:bdr w:val="none" w:sz="0" w:space="0" w:color="auto" w:frame="1"/>
                      <w:shd w:val="clear" w:color="auto" w:fill="FFFFFF"/>
                    </w:rPr>
                    <w:t xml:space="preserve">Eiropas Parlamenta un Padomes Regulai (ES) 2016/792 </w:t>
                  </w:r>
                  <w:r w:rsidRPr="003A01DF">
                    <w:rPr>
                      <w:bCs/>
                    </w:rPr>
                    <w:t xml:space="preserve">(2016. gada 11. maijs) par saskaņotajiem patēriņa cenu indeksiem un mājokļu cenu indeksu un ar ko atceļ </w:t>
                  </w:r>
                  <w:r>
                    <w:rPr>
                      <w:bCs/>
                    </w:rPr>
                    <w:t>Padomes Regulu (EK) Nr. 2494/95</w:t>
                  </w:r>
                  <w:r w:rsidR="006C546C">
                    <w:rPr>
                      <w:bCs/>
                    </w:rPr>
                    <w:t>.</w:t>
                  </w:r>
                  <w:r w:rsidRPr="003A01DF">
                    <w:rPr>
                      <w:bCs/>
                    </w:rPr>
                    <w:t xml:space="preserve"> </w:t>
                  </w:r>
                  <w:r w:rsidR="006C546C">
                    <w:rPr>
                      <w:bCs/>
                    </w:rPr>
                    <w:t>OCTA likuma 15. panta pirmajā daļā</w:t>
                  </w:r>
                  <w:r w:rsidRPr="003A01DF">
                    <w:rPr>
                      <w:bCs/>
                    </w:rPr>
                    <w:t xml:space="preserve"> noteikts, ka</w:t>
                  </w:r>
                  <w:r w:rsidR="006C546C">
                    <w:rPr>
                      <w:bCs/>
                    </w:rPr>
                    <w:t>,</w:t>
                  </w:r>
                  <w:r w:rsidRPr="003A01DF">
                    <w:rPr>
                      <w:bCs/>
                    </w:rPr>
                    <w:t xml:space="preserve"> </w:t>
                  </w:r>
                  <w:r w:rsidRPr="003A01DF">
                    <w:t>iestājoties apdrošināšanas gadījumam, apdrošinātājs, kurš apdrošinājis zaudējumu nodarījušā transportlīdzekļa īpašnieka civiltiesisko atbildību, vai Transportlīdzekļu apdrošinātāju birojs (turpmāk – LTAB) (ja apdrošināšanas atlīdzība izmaksājama no Garantijas fonda) sedz zaudējumus, nepārsniedzot noteikto apdrošinātāja atbildības limitu:</w:t>
                  </w:r>
                </w:p>
                <w:p w14:paraId="3F862D2A" w14:textId="77777777" w:rsidR="00E6602E" w:rsidRPr="003A01DF" w:rsidRDefault="00E6602E" w:rsidP="00E6602E">
                  <w:pPr>
                    <w:spacing w:after="0" w:line="240" w:lineRule="auto"/>
                    <w:ind w:firstLine="713"/>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t xml:space="preserve">1) personai nodarīto zaudējumu atlīdzināšanai — līdz 5 210 000 </w:t>
                  </w:r>
                  <w:r w:rsidRPr="003A01DF">
                    <w:rPr>
                      <w:rFonts w:ascii="Times New Roman" w:eastAsia="Times New Roman" w:hAnsi="Times New Roman" w:cs="Times New Roman"/>
                      <w:i/>
                      <w:iCs/>
                      <w:sz w:val="24"/>
                      <w:szCs w:val="24"/>
                      <w:lang w:eastAsia="lv-LV"/>
                    </w:rPr>
                    <w:t>euro</w:t>
                  </w:r>
                  <w:r w:rsidRPr="003A01DF">
                    <w:rPr>
                      <w:rFonts w:ascii="Times New Roman" w:eastAsia="Times New Roman" w:hAnsi="Times New Roman" w:cs="Times New Roman"/>
                      <w:sz w:val="24"/>
                      <w:szCs w:val="24"/>
                      <w:lang w:eastAsia="lv-LV"/>
                    </w:rPr>
                    <w:t xml:space="preserve"> neatkarīgi no cietušo personu skaita;</w:t>
                  </w:r>
                </w:p>
                <w:p w14:paraId="197F7F13" w14:textId="77777777" w:rsidR="00E6602E" w:rsidRPr="003A01DF" w:rsidRDefault="00E6602E" w:rsidP="00E6602E">
                  <w:pPr>
                    <w:spacing w:after="0" w:line="240" w:lineRule="auto"/>
                    <w:ind w:firstLine="713"/>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t xml:space="preserve">2) mantai nodarīto zaudējumu atlīdzināšanai — līdz 1 050 000 </w:t>
                  </w:r>
                  <w:r w:rsidRPr="003A01DF">
                    <w:rPr>
                      <w:rFonts w:ascii="Times New Roman" w:eastAsia="Times New Roman" w:hAnsi="Times New Roman" w:cs="Times New Roman"/>
                      <w:i/>
                      <w:iCs/>
                      <w:sz w:val="24"/>
                      <w:szCs w:val="24"/>
                      <w:lang w:eastAsia="lv-LV"/>
                    </w:rPr>
                    <w:t>euro</w:t>
                  </w:r>
                  <w:r w:rsidRPr="003A01DF">
                    <w:rPr>
                      <w:rFonts w:ascii="Times New Roman" w:eastAsia="Times New Roman" w:hAnsi="Times New Roman" w:cs="Times New Roman"/>
                      <w:sz w:val="24"/>
                      <w:szCs w:val="24"/>
                      <w:lang w:eastAsia="lv-LV"/>
                    </w:rPr>
                    <w:t xml:space="preserve"> neatkarīgi no trešo personu skaita.</w:t>
                  </w:r>
                </w:p>
                <w:p w14:paraId="4B3AB513" w14:textId="3FDA79F0" w:rsidR="00E6602E" w:rsidRPr="00C9450C" w:rsidRDefault="00E6602E" w:rsidP="00E6602E">
                  <w:pPr>
                    <w:spacing w:after="0" w:line="240" w:lineRule="auto"/>
                    <w:ind w:firstLine="535"/>
                    <w:jc w:val="both"/>
                    <w:rPr>
                      <w:rFonts w:ascii="Times New Roman" w:hAnsi="Times New Roman" w:cs="Times New Roman"/>
                      <w:sz w:val="24"/>
                      <w:szCs w:val="24"/>
                    </w:rPr>
                  </w:pPr>
                  <w:r w:rsidRPr="00C9450C">
                    <w:rPr>
                      <w:rFonts w:ascii="Times New Roman" w:hAnsi="Times New Roman" w:cs="Times New Roman"/>
                      <w:bCs/>
                      <w:sz w:val="24"/>
                      <w:szCs w:val="24"/>
                    </w:rPr>
                    <w:t xml:space="preserve">Lai ieviestu Direktīvas 5. panta 2. punktā noteikto izņēmumu no apdrošināšanas pienākuma, ir jāveic attiecīgi grozījumi OCTA likumā, un atbilstoši Direktīvas 5. panta 2. punktā noteiktajam par to jāinformē dalībvalstis un Eiropas Komisija. Par atteikšanos no speciālās militārās tehnikas </w:t>
                  </w:r>
                  <w:r w:rsidR="006C546C">
                    <w:rPr>
                      <w:rFonts w:ascii="Times New Roman" w:hAnsi="Times New Roman" w:cs="Times New Roman"/>
                      <w:bCs/>
                      <w:sz w:val="24"/>
                      <w:szCs w:val="24"/>
                    </w:rPr>
                    <w:t xml:space="preserve">piekabes </w:t>
                  </w:r>
                  <w:r w:rsidRPr="00C9450C">
                    <w:rPr>
                      <w:rFonts w:ascii="Times New Roman" w:hAnsi="Times New Roman" w:cs="Times New Roman"/>
                      <w:bCs/>
                      <w:sz w:val="24"/>
                      <w:szCs w:val="24"/>
                    </w:rPr>
                    <w:t xml:space="preserve">apdrošināšanas </w:t>
                  </w:r>
                  <w:r w:rsidRPr="00C9450C">
                    <w:rPr>
                      <w:rFonts w:ascii="Times New Roman" w:hAnsi="Times New Roman" w:cs="Times New Roman"/>
                      <w:sz w:val="24"/>
                      <w:szCs w:val="24"/>
                    </w:rPr>
                    <w:t>Eiropas Komisijai un dalībvalstīm</w:t>
                  </w:r>
                  <w:r w:rsidRPr="00C9450C">
                    <w:rPr>
                      <w:rFonts w:ascii="Times New Roman" w:hAnsi="Times New Roman" w:cs="Times New Roman"/>
                      <w:bCs/>
                      <w:sz w:val="24"/>
                      <w:szCs w:val="24"/>
                    </w:rPr>
                    <w:t xml:space="preserve"> tiks paziņots pēc attiecīgo grozījumu </w:t>
                  </w:r>
                  <w:r>
                    <w:rPr>
                      <w:rFonts w:ascii="Times New Roman" w:hAnsi="Times New Roman" w:cs="Times New Roman"/>
                      <w:bCs/>
                      <w:sz w:val="24"/>
                      <w:szCs w:val="24"/>
                    </w:rPr>
                    <w:t>OCTA l</w:t>
                  </w:r>
                  <w:r w:rsidRPr="00C9450C">
                    <w:rPr>
                      <w:rFonts w:ascii="Times New Roman" w:hAnsi="Times New Roman" w:cs="Times New Roman"/>
                      <w:bCs/>
                      <w:sz w:val="24"/>
                      <w:szCs w:val="24"/>
                    </w:rPr>
                    <w:t>ikumā spēkā stāšanās</w:t>
                  </w:r>
                  <w:r w:rsidRPr="00C9450C">
                    <w:rPr>
                      <w:rFonts w:ascii="Times New Roman" w:hAnsi="Times New Roman" w:cs="Times New Roman"/>
                      <w:sz w:val="24"/>
                      <w:szCs w:val="24"/>
                    </w:rPr>
                    <w:t>, Tieslietu ministrijai izdarot attiecīgu ierakstu Valsts izpildes pasākumu paziņošanas sistēmā.  </w:t>
                  </w:r>
                </w:p>
                <w:p w14:paraId="6EEF7EB7" w14:textId="5C302025" w:rsidR="00F9702C" w:rsidRPr="00F9702C" w:rsidRDefault="00E6602E" w:rsidP="001323B6">
                  <w:pPr>
                    <w:pStyle w:val="NormalWeb"/>
                    <w:shd w:val="clear" w:color="auto" w:fill="FFFFFF"/>
                    <w:spacing w:before="0" w:beforeAutospacing="0" w:after="0" w:afterAutospacing="0"/>
                    <w:ind w:firstLine="654"/>
                    <w:jc w:val="both"/>
                    <w:rPr>
                      <w:color w:val="414142"/>
                    </w:rPr>
                  </w:pPr>
                  <w:r>
                    <w:rPr>
                      <w:bCs/>
                      <w:color w:val="414142"/>
                      <w:shd w:val="clear" w:color="auto" w:fill="FFFFFF"/>
                    </w:rPr>
                    <w:t>OCTA likuma</w:t>
                  </w:r>
                  <w:r w:rsidR="00F9702C" w:rsidRPr="00F9702C">
                    <w:rPr>
                      <w:bCs/>
                      <w:color w:val="414142"/>
                      <w:shd w:val="clear" w:color="auto" w:fill="FFFFFF"/>
                    </w:rPr>
                    <w:t xml:space="preserve"> 3.</w:t>
                  </w:r>
                  <w:r w:rsidR="00F9702C" w:rsidRPr="00F9702C">
                    <w:rPr>
                      <w:bCs/>
                      <w:color w:val="414142"/>
                      <w:shd w:val="clear" w:color="auto" w:fill="FFFFFF"/>
                      <w:vertAlign w:val="superscript"/>
                    </w:rPr>
                    <w:t xml:space="preserve">1 </w:t>
                  </w:r>
                  <w:r w:rsidR="00F9702C" w:rsidRPr="00F9702C">
                    <w:rPr>
                      <w:bCs/>
                      <w:color w:val="414142"/>
                      <w:shd w:val="clear" w:color="auto" w:fill="FFFFFF"/>
                    </w:rPr>
                    <w:t xml:space="preserve">pantā </w:t>
                  </w:r>
                  <w:r>
                    <w:rPr>
                      <w:bCs/>
                      <w:color w:val="414142"/>
                      <w:shd w:val="clear" w:color="auto" w:fill="FFFFFF"/>
                    </w:rPr>
                    <w:t>jau</w:t>
                  </w:r>
                  <w:r w:rsidR="006C546C">
                    <w:rPr>
                      <w:bCs/>
                      <w:color w:val="414142"/>
                      <w:shd w:val="clear" w:color="auto" w:fill="FFFFFF"/>
                    </w:rPr>
                    <w:t xml:space="preserve"> ir</w:t>
                  </w:r>
                  <w:r>
                    <w:rPr>
                      <w:bCs/>
                      <w:color w:val="414142"/>
                      <w:shd w:val="clear" w:color="auto" w:fill="FFFFFF"/>
                    </w:rPr>
                    <w:t xml:space="preserve"> </w:t>
                  </w:r>
                  <w:r w:rsidR="00F9702C" w:rsidRPr="00F9702C">
                    <w:rPr>
                      <w:bCs/>
                      <w:color w:val="414142"/>
                      <w:shd w:val="clear" w:color="auto" w:fill="FFFFFF"/>
                    </w:rPr>
                    <w:t>noteikts, ka ī</w:t>
                  </w:r>
                  <w:r w:rsidR="00F9702C" w:rsidRPr="00F9702C">
                    <w:rPr>
                      <w:color w:val="414142"/>
                    </w:rPr>
                    <w:t xml:space="preserve">pašnieka civiltiesisko atbildību par Latvijas Republikas Nacionālo bruņoto spēku </w:t>
                  </w:r>
                  <w:r w:rsidR="001323B6">
                    <w:rPr>
                      <w:color w:val="414142"/>
                    </w:rPr>
                    <w:t xml:space="preserve">(turpmāk – NBS) </w:t>
                  </w:r>
                  <w:r w:rsidR="00F9702C" w:rsidRPr="00F9702C">
                    <w:rPr>
                      <w:color w:val="414142"/>
                    </w:rPr>
                    <w:t xml:space="preserve">reģistrā reģistrētas speciālās militārās </w:t>
                  </w:r>
                  <w:r w:rsidR="00F9702C" w:rsidRPr="00F9702C">
                    <w:rPr>
                      <w:color w:val="414142"/>
                    </w:rPr>
                    <w:lastRenderedPageBreak/>
                    <w:t xml:space="preserve">tehnikas (turpmāk — speciālā militārā tehnika) lietošanu ceļu satiksmē neapdrošina un īpašnieka civiltiesiskās atbildības gadījumā trešajai personai speciālās militārās tehnikas nodarīto zaudējumu atlīdzināšanas kārtību regulē </w:t>
                  </w:r>
                  <w:r w:rsidR="006C546C">
                    <w:rPr>
                      <w:color w:val="414142"/>
                    </w:rPr>
                    <w:t>OCTA</w:t>
                  </w:r>
                  <w:r w:rsidR="00F9702C" w:rsidRPr="00F9702C">
                    <w:rPr>
                      <w:color w:val="414142"/>
                    </w:rPr>
                    <w:t xml:space="preserve"> likuma </w:t>
                  </w:r>
                  <w:hyperlink r:id="rId8" w:anchor="p41.1" w:history="1">
                    <w:r w:rsidR="00F9702C" w:rsidRPr="00F9702C">
                      <w:rPr>
                        <w:rStyle w:val="Hyperlink"/>
                        <w:color w:val="auto"/>
                        <w:u w:val="none"/>
                      </w:rPr>
                      <w:t>41.</w:t>
                    </w:r>
                    <w:r w:rsidR="00F9702C" w:rsidRPr="00F9702C">
                      <w:rPr>
                        <w:rStyle w:val="Hyperlink"/>
                        <w:color w:val="auto"/>
                        <w:u w:val="none"/>
                        <w:vertAlign w:val="superscript"/>
                      </w:rPr>
                      <w:t>1  </w:t>
                    </w:r>
                  </w:hyperlink>
                  <w:r w:rsidR="00F9702C" w:rsidRPr="00F9702C">
                    <w:t>un </w:t>
                  </w:r>
                  <w:hyperlink r:id="rId9" w:anchor="p41.2" w:history="1">
                    <w:r w:rsidR="00F9702C" w:rsidRPr="00F9702C">
                      <w:rPr>
                        <w:rStyle w:val="Hyperlink"/>
                        <w:color w:val="auto"/>
                        <w:u w:val="none"/>
                      </w:rPr>
                      <w:t>41.</w:t>
                    </w:r>
                    <w:r w:rsidR="00F9702C" w:rsidRPr="00F9702C">
                      <w:rPr>
                        <w:rStyle w:val="Hyperlink"/>
                        <w:color w:val="auto"/>
                        <w:u w:val="none"/>
                        <w:vertAlign w:val="superscript"/>
                      </w:rPr>
                      <w:t>2 </w:t>
                    </w:r>
                    <w:r w:rsidR="00F9702C" w:rsidRPr="00F9702C">
                      <w:rPr>
                        <w:rStyle w:val="Hyperlink"/>
                        <w:color w:val="auto"/>
                        <w:u w:val="none"/>
                      </w:rPr>
                      <w:t>pants</w:t>
                    </w:r>
                  </w:hyperlink>
                  <w:r w:rsidR="00F9702C" w:rsidRPr="00F9702C">
                    <w:t>.</w:t>
                  </w:r>
                  <w:r w:rsidR="00F9702C" w:rsidRPr="00F9702C">
                    <w:rPr>
                      <w:color w:val="414142"/>
                    </w:rPr>
                    <w:t xml:space="preserve"> </w:t>
                  </w:r>
                </w:p>
                <w:p w14:paraId="35B3C636" w14:textId="3C38732C" w:rsidR="008F59EE" w:rsidRDefault="00F9702C" w:rsidP="001323B6">
                  <w:pPr>
                    <w:spacing w:after="0" w:line="240" w:lineRule="auto"/>
                    <w:ind w:firstLine="537"/>
                    <w:jc w:val="both"/>
                    <w:rPr>
                      <w:rFonts w:ascii="Times New Roman" w:hAnsi="Times New Roman" w:cs="Times New Roman"/>
                      <w:bCs/>
                      <w:sz w:val="24"/>
                      <w:szCs w:val="24"/>
                    </w:rPr>
                  </w:pPr>
                  <w:r>
                    <w:rPr>
                      <w:rFonts w:ascii="Times New Roman" w:hAnsi="Times New Roman" w:cs="Times New Roman"/>
                      <w:bCs/>
                      <w:sz w:val="24"/>
                      <w:szCs w:val="24"/>
                    </w:rPr>
                    <w:t>Ceļu satiksmes likuma (turpmāk – CSL)</w:t>
                  </w:r>
                  <w:r w:rsidR="008F59EE" w:rsidRPr="003A01DF">
                    <w:rPr>
                      <w:rFonts w:ascii="Times New Roman" w:hAnsi="Times New Roman" w:cs="Times New Roman"/>
                      <w:bCs/>
                      <w:sz w:val="24"/>
                      <w:szCs w:val="24"/>
                    </w:rPr>
                    <w:t xml:space="preserve"> 1. panta 19.</w:t>
                  </w:r>
                  <w:r w:rsidR="008F59EE" w:rsidRPr="003A01DF">
                    <w:rPr>
                      <w:rFonts w:ascii="Times New Roman" w:hAnsi="Times New Roman" w:cs="Times New Roman"/>
                      <w:bCs/>
                      <w:sz w:val="24"/>
                      <w:szCs w:val="24"/>
                      <w:vertAlign w:val="superscript"/>
                    </w:rPr>
                    <w:t>3</w:t>
                  </w:r>
                  <w:r w:rsidR="008F59EE" w:rsidRPr="003A01DF">
                    <w:rPr>
                      <w:rFonts w:ascii="Times New Roman" w:hAnsi="Times New Roman" w:cs="Times New Roman"/>
                      <w:bCs/>
                      <w:sz w:val="24"/>
                      <w:szCs w:val="24"/>
                    </w:rPr>
                    <w:t xml:space="preserve"> punktā noteikts, ka </w:t>
                  </w:r>
                  <w:r w:rsidR="008F59EE" w:rsidRPr="00A64299">
                    <w:rPr>
                      <w:rFonts w:ascii="Times New Roman" w:hAnsi="Times New Roman" w:cs="Times New Roman"/>
                      <w:bCs/>
                      <w:i/>
                      <w:sz w:val="24"/>
                      <w:szCs w:val="24"/>
                    </w:rPr>
                    <w:t>speciālā militārā tehnika ir bruņutehnika, inženiertehnika un cita speciāla pašgājēja tehnika ar iekšdedzes motoru, ja tā nav būvēta uz automobiļa bāzes un pēc konstrukcijas ir paredzēta izmantošanai mācību kaujās un kaujas apstākļos</w:t>
                  </w:r>
                  <w:r w:rsidR="008F59EE" w:rsidRPr="003A01DF">
                    <w:rPr>
                      <w:rFonts w:ascii="Times New Roman" w:hAnsi="Times New Roman" w:cs="Times New Roman"/>
                      <w:bCs/>
                      <w:sz w:val="24"/>
                      <w:szCs w:val="24"/>
                    </w:rPr>
                    <w:t xml:space="preserve">. </w:t>
                  </w:r>
                </w:p>
                <w:p w14:paraId="5D173EB9" w14:textId="4A2A243B" w:rsidR="00636B73" w:rsidRDefault="00E6602E" w:rsidP="008F59EE">
                  <w:pPr>
                    <w:spacing w:after="0" w:line="240" w:lineRule="auto"/>
                    <w:ind w:firstLine="537"/>
                    <w:jc w:val="both"/>
                    <w:rPr>
                      <w:rFonts w:ascii="Times New Roman" w:hAnsi="Times New Roman" w:cs="Times New Roman"/>
                      <w:bCs/>
                      <w:sz w:val="24"/>
                      <w:szCs w:val="24"/>
                    </w:rPr>
                  </w:pPr>
                  <w:r>
                    <w:rPr>
                      <w:rFonts w:ascii="Times New Roman" w:hAnsi="Times New Roman" w:cs="Times New Roman"/>
                      <w:bCs/>
                      <w:sz w:val="24"/>
                      <w:szCs w:val="24"/>
                    </w:rPr>
                    <w:t xml:space="preserve">Savukārt ar </w:t>
                  </w:r>
                  <w:r w:rsidR="00636B73">
                    <w:rPr>
                      <w:rFonts w:ascii="Times New Roman" w:hAnsi="Times New Roman" w:cs="Times New Roman"/>
                      <w:bCs/>
                      <w:sz w:val="24"/>
                      <w:szCs w:val="24"/>
                    </w:rPr>
                    <w:t xml:space="preserve">likumprojektu “Grozījumi Ceļu satiksmes likumā” </w:t>
                  </w:r>
                  <w:r w:rsidR="00471AA7">
                    <w:rPr>
                      <w:rFonts w:ascii="Times New Roman" w:hAnsi="Times New Roman" w:cs="Times New Roman"/>
                      <w:bCs/>
                      <w:sz w:val="24"/>
                      <w:szCs w:val="24"/>
                    </w:rPr>
                    <w:t>(Nr. 967/ Lp.13)</w:t>
                  </w:r>
                  <w:r w:rsidR="002C1BE4">
                    <w:rPr>
                      <w:rFonts w:ascii="Times New Roman" w:hAnsi="Times New Roman" w:cs="Times New Roman"/>
                      <w:bCs/>
                      <w:sz w:val="24"/>
                      <w:szCs w:val="24"/>
                    </w:rPr>
                    <w:t>,</w:t>
                  </w:r>
                  <w:r w:rsidR="00471AA7">
                    <w:rPr>
                      <w:rFonts w:ascii="Times New Roman" w:hAnsi="Times New Roman" w:cs="Times New Roman"/>
                      <w:bCs/>
                      <w:sz w:val="24"/>
                      <w:szCs w:val="24"/>
                    </w:rPr>
                    <w:t xml:space="preserve"> kas izskatīts Saeimas </w:t>
                  </w:r>
                  <w:r w:rsidR="002C1BE4">
                    <w:rPr>
                      <w:rFonts w:ascii="Times New Roman" w:hAnsi="Times New Roman" w:cs="Times New Roman"/>
                      <w:bCs/>
                      <w:sz w:val="24"/>
                      <w:szCs w:val="24"/>
                    </w:rPr>
                    <w:t>pirmajā</w:t>
                  </w:r>
                  <w:r w:rsidR="00471AA7">
                    <w:rPr>
                      <w:rFonts w:ascii="Times New Roman" w:hAnsi="Times New Roman" w:cs="Times New Roman"/>
                      <w:bCs/>
                      <w:sz w:val="24"/>
                      <w:szCs w:val="24"/>
                    </w:rPr>
                    <w:t xml:space="preserve"> lasījumā, plānots:</w:t>
                  </w:r>
                </w:p>
                <w:p w14:paraId="505DBC0B" w14:textId="15DCE251" w:rsidR="00471AA7" w:rsidRPr="00A64299" w:rsidRDefault="00471AA7" w:rsidP="001323B6">
                  <w:pPr>
                    <w:pStyle w:val="ListParagraph"/>
                    <w:numPr>
                      <w:ilvl w:val="0"/>
                      <w:numId w:val="34"/>
                    </w:numPr>
                    <w:spacing w:after="0" w:line="240" w:lineRule="auto"/>
                    <w:ind w:left="0" w:firstLine="656"/>
                    <w:jc w:val="both"/>
                    <w:rPr>
                      <w:rFonts w:ascii="Times New Roman" w:hAnsi="Times New Roman" w:cs="Times New Roman"/>
                      <w:bCs/>
                      <w:sz w:val="24"/>
                      <w:szCs w:val="24"/>
                    </w:rPr>
                  </w:pPr>
                  <w:r w:rsidRPr="00A64299">
                    <w:rPr>
                      <w:rFonts w:ascii="Times New Roman" w:hAnsi="Times New Roman" w:cs="Times New Roman"/>
                      <w:bCs/>
                      <w:sz w:val="24"/>
                      <w:szCs w:val="24"/>
                    </w:rPr>
                    <w:t xml:space="preserve">precizēt </w:t>
                  </w:r>
                  <w:r w:rsidR="00A64299">
                    <w:rPr>
                      <w:rFonts w:ascii="Times New Roman" w:hAnsi="Times New Roman" w:cs="Times New Roman"/>
                      <w:bCs/>
                      <w:sz w:val="24"/>
                      <w:szCs w:val="24"/>
                    </w:rPr>
                    <w:t xml:space="preserve">CSL 1. panta </w:t>
                  </w:r>
                  <w:r w:rsidR="00A64299" w:rsidRPr="00AD7D15">
                    <w:rPr>
                      <w:rFonts w:ascii="Times New Roman" w:hAnsi="Times New Roman" w:cs="Times New Roman"/>
                      <w:sz w:val="24"/>
                      <w:szCs w:val="24"/>
                    </w:rPr>
                    <w:t>19.</w:t>
                  </w:r>
                  <w:r w:rsidR="00A64299" w:rsidRPr="00AD7D15">
                    <w:rPr>
                      <w:rFonts w:ascii="Times New Roman" w:hAnsi="Times New Roman" w:cs="Times New Roman"/>
                      <w:sz w:val="24"/>
                      <w:szCs w:val="24"/>
                      <w:vertAlign w:val="superscript"/>
                    </w:rPr>
                    <w:t xml:space="preserve">3 </w:t>
                  </w:r>
                  <w:r w:rsidR="00A64299">
                    <w:rPr>
                      <w:rFonts w:ascii="Times New Roman" w:hAnsi="Times New Roman" w:cs="Times New Roman"/>
                      <w:bCs/>
                      <w:sz w:val="24"/>
                      <w:szCs w:val="24"/>
                    </w:rPr>
                    <w:t>punktā noteikto speciālās</w:t>
                  </w:r>
                  <w:r w:rsidRPr="00A64299">
                    <w:rPr>
                      <w:rFonts w:ascii="Times New Roman" w:hAnsi="Times New Roman" w:cs="Times New Roman"/>
                      <w:bCs/>
                      <w:sz w:val="24"/>
                      <w:szCs w:val="24"/>
                    </w:rPr>
                    <w:t xml:space="preserve"> militārās tehnikas definīc</w:t>
                  </w:r>
                  <w:r w:rsidR="00A64299" w:rsidRPr="00A64299">
                    <w:rPr>
                      <w:rFonts w:ascii="Times New Roman" w:hAnsi="Times New Roman" w:cs="Times New Roman"/>
                      <w:bCs/>
                      <w:sz w:val="24"/>
                      <w:szCs w:val="24"/>
                    </w:rPr>
                    <w:t>ij</w:t>
                  </w:r>
                  <w:r w:rsidR="00A64299">
                    <w:rPr>
                      <w:rFonts w:ascii="Times New Roman" w:hAnsi="Times New Roman" w:cs="Times New Roman"/>
                      <w:bCs/>
                      <w:sz w:val="24"/>
                      <w:szCs w:val="24"/>
                    </w:rPr>
                    <w:t>u</w:t>
                  </w:r>
                  <w:r w:rsidR="00A64299" w:rsidRPr="00AD7D15">
                    <w:rPr>
                      <w:rFonts w:ascii="Times New Roman" w:hAnsi="Times New Roman" w:cs="Times New Roman"/>
                      <w:sz w:val="24"/>
                      <w:szCs w:val="24"/>
                    </w:rPr>
                    <w:t>, svītrojot norādi uz motora tipu</w:t>
                  </w:r>
                  <w:r w:rsidR="00A64299">
                    <w:rPr>
                      <w:rFonts w:ascii="Times New Roman" w:hAnsi="Times New Roman" w:cs="Times New Roman"/>
                      <w:sz w:val="24"/>
                      <w:szCs w:val="24"/>
                    </w:rPr>
                    <w:t>;</w:t>
                  </w:r>
                </w:p>
                <w:p w14:paraId="20B4C853" w14:textId="105384BA" w:rsidR="001323B6" w:rsidRPr="001323B6" w:rsidRDefault="00A64299" w:rsidP="001323B6">
                  <w:pPr>
                    <w:pStyle w:val="ListParagraph"/>
                    <w:numPr>
                      <w:ilvl w:val="0"/>
                      <w:numId w:val="34"/>
                    </w:numPr>
                    <w:spacing w:after="0" w:line="240" w:lineRule="auto"/>
                    <w:ind w:left="0" w:firstLine="656"/>
                    <w:jc w:val="both"/>
                    <w:rPr>
                      <w:rFonts w:ascii="Times New Roman" w:hAnsi="Times New Roman" w:cs="Times New Roman"/>
                      <w:i/>
                      <w:color w:val="000000"/>
                      <w:sz w:val="24"/>
                      <w:szCs w:val="24"/>
                      <w:shd w:val="clear" w:color="auto" w:fill="FFFFFF"/>
                    </w:rPr>
                  </w:pPr>
                  <w:r w:rsidRPr="001323B6">
                    <w:rPr>
                      <w:rFonts w:ascii="Times New Roman" w:hAnsi="Times New Roman" w:cs="Times New Roman"/>
                      <w:sz w:val="24"/>
                      <w:szCs w:val="24"/>
                    </w:rPr>
                    <w:t xml:space="preserve">ieviest </w:t>
                  </w:r>
                  <w:r w:rsidRPr="00E6602E">
                    <w:rPr>
                      <w:rFonts w:ascii="Times New Roman" w:hAnsi="Times New Roman" w:cs="Times New Roman"/>
                      <w:b/>
                      <w:sz w:val="24"/>
                      <w:szCs w:val="24"/>
                    </w:rPr>
                    <w:t>speciālās militārās tehnikas piekabes</w:t>
                  </w:r>
                  <w:r w:rsidRPr="001323B6">
                    <w:rPr>
                      <w:rFonts w:ascii="Times New Roman" w:hAnsi="Times New Roman" w:cs="Times New Roman"/>
                      <w:sz w:val="24"/>
                      <w:szCs w:val="24"/>
                    </w:rPr>
                    <w:t xml:space="preserve"> kategoriju un </w:t>
                  </w:r>
                  <w:r w:rsidR="001323B6" w:rsidRPr="001323B6">
                    <w:rPr>
                      <w:rFonts w:ascii="Times New Roman" w:hAnsi="Times New Roman" w:cs="Times New Roman"/>
                      <w:sz w:val="24"/>
                      <w:szCs w:val="24"/>
                    </w:rPr>
                    <w:t>CSL 1. pantā</w:t>
                  </w:r>
                  <w:r w:rsidR="00F9702C" w:rsidRPr="001323B6">
                    <w:rPr>
                      <w:rFonts w:ascii="Times New Roman" w:hAnsi="Times New Roman" w:cs="Times New Roman"/>
                      <w:sz w:val="24"/>
                      <w:szCs w:val="24"/>
                    </w:rPr>
                    <w:t xml:space="preserve"> noteikt, ka </w:t>
                  </w:r>
                  <w:r w:rsidR="00E6602E" w:rsidRPr="00E6602E">
                    <w:rPr>
                      <w:rFonts w:ascii="Times New Roman" w:hAnsi="Times New Roman" w:cs="Times New Roman"/>
                      <w:sz w:val="24"/>
                      <w:szCs w:val="24"/>
                    </w:rPr>
                    <w:t>tas</w:t>
                  </w:r>
                  <w:r w:rsidR="00F9702C" w:rsidRPr="001323B6">
                    <w:rPr>
                      <w:rFonts w:ascii="Times New Roman" w:hAnsi="Times New Roman" w:cs="Times New Roman"/>
                      <w:color w:val="000000"/>
                      <w:sz w:val="24"/>
                      <w:szCs w:val="24"/>
                      <w:shd w:val="clear" w:color="auto" w:fill="FFFFFF"/>
                    </w:rPr>
                    <w:t xml:space="preserve"> </w:t>
                  </w:r>
                  <w:r w:rsidR="001323B6" w:rsidRPr="001323B6">
                    <w:rPr>
                      <w:rFonts w:ascii="Times New Roman" w:hAnsi="Times New Roman" w:cs="Times New Roman"/>
                      <w:color w:val="000000"/>
                      <w:sz w:val="24"/>
                      <w:szCs w:val="24"/>
                      <w:shd w:val="clear" w:color="auto" w:fill="FFFFFF"/>
                    </w:rPr>
                    <w:t xml:space="preserve">ir </w:t>
                  </w:r>
                  <w:r w:rsidR="001323B6" w:rsidRPr="001323B6">
                    <w:rPr>
                      <w:rFonts w:ascii="Times New Roman" w:hAnsi="Times New Roman" w:cs="Times New Roman"/>
                      <w:color w:val="000000"/>
                      <w:sz w:val="24"/>
                      <w:szCs w:val="24"/>
                    </w:rPr>
                    <w:t>transportlīdzeklis, kas paredzēts braukšanai savienojumā tikai ar speciālo militāro tehniku un kas pēc konstrukcijas paredzēts izmantošanai mācību kaujās un kaujas apstākļos;</w:t>
                  </w:r>
                </w:p>
                <w:p w14:paraId="77FBF587" w14:textId="1792A207" w:rsidR="00A64299" w:rsidRPr="00F9702C" w:rsidRDefault="00A64299" w:rsidP="00F9702C">
                  <w:pPr>
                    <w:pStyle w:val="ListParagraph"/>
                    <w:numPr>
                      <w:ilvl w:val="0"/>
                      <w:numId w:val="34"/>
                    </w:numPr>
                    <w:spacing w:after="0" w:line="240" w:lineRule="auto"/>
                    <w:ind w:left="0" w:firstLine="371"/>
                    <w:jc w:val="both"/>
                    <w:rPr>
                      <w:rFonts w:ascii="Times New Roman" w:hAnsi="Times New Roman" w:cs="Times New Roman"/>
                      <w:sz w:val="24"/>
                      <w:szCs w:val="24"/>
                    </w:rPr>
                  </w:pPr>
                  <w:r w:rsidRPr="00A64299">
                    <w:rPr>
                      <w:rFonts w:ascii="Times New Roman" w:hAnsi="Times New Roman" w:cs="Times New Roman"/>
                      <w:sz w:val="24"/>
                      <w:szCs w:val="24"/>
                    </w:rPr>
                    <w:t xml:space="preserve">uz </w:t>
                  </w:r>
                  <w:r w:rsidR="00F9702C">
                    <w:rPr>
                      <w:rFonts w:ascii="Times New Roman" w:hAnsi="Times New Roman" w:cs="Times New Roman"/>
                      <w:sz w:val="24"/>
                      <w:szCs w:val="24"/>
                    </w:rPr>
                    <w:t>speciālās militārās tehnikas</w:t>
                  </w:r>
                  <w:r w:rsidRPr="00A64299">
                    <w:rPr>
                      <w:rFonts w:ascii="Times New Roman" w:hAnsi="Times New Roman" w:cs="Times New Roman"/>
                      <w:sz w:val="24"/>
                      <w:szCs w:val="24"/>
                    </w:rPr>
                    <w:t xml:space="preserve"> piekabju kategoriju attiecin</w:t>
                  </w:r>
                  <w:r>
                    <w:rPr>
                      <w:rFonts w:ascii="Times New Roman" w:hAnsi="Times New Roman" w:cs="Times New Roman"/>
                      <w:sz w:val="24"/>
                      <w:szCs w:val="24"/>
                    </w:rPr>
                    <w:t>āt</w:t>
                  </w:r>
                  <w:r w:rsidRPr="00A64299">
                    <w:rPr>
                      <w:rFonts w:ascii="Times New Roman" w:hAnsi="Times New Roman" w:cs="Times New Roman"/>
                      <w:sz w:val="24"/>
                      <w:szCs w:val="24"/>
                    </w:rPr>
                    <w:t xml:space="preserve"> </w:t>
                  </w:r>
                  <w:r>
                    <w:rPr>
                      <w:rFonts w:ascii="Times New Roman" w:hAnsi="Times New Roman" w:cs="Times New Roman"/>
                      <w:sz w:val="24"/>
                      <w:szCs w:val="24"/>
                    </w:rPr>
                    <w:t>CSL</w:t>
                  </w:r>
                  <w:r w:rsidRPr="00A64299">
                    <w:rPr>
                      <w:rFonts w:ascii="Times New Roman" w:hAnsi="Times New Roman" w:cs="Times New Roman"/>
                      <w:sz w:val="24"/>
                      <w:szCs w:val="24"/>
                    </w:rPr>
                    <w:t xml:space="preserve"> noteiktās prasības, kas attiecināmas uz speciālo militāro tehniku. Proti: </w:t>
                  </w:r>
                </w:p>
                <w:p w14:paraId="71929B1F" w14:textId="0FBC0C5F" w:rsidR="00A64299" w:rsidRPr="00A64299" w:rsidRDefault="00F9702C" w:rsidP="00A64299">
                  <w:pPr>
                    <w:pStyle w:val="ListParagraph"/>
                    <w:spacing w:after="0" w:line="240" w:lineRule="auto"/>
                    <w:ind w:left="0" w:firstLine="654"/>
                    <w:jc w:val="both"/>
                    <w:rPr>
                      <w:rFonts w:ascii="Times New Roman" w:hAnsi="Times New Roman" w:cs="Times New Roman"/>
                      <w:sz w:val="24"/>
                      <w:szCs w:val="24"/>
                    </w:rPr>
                  </w:pPr>
                  <w:r>
                    <w:rPr>
                      <w:rFonts w:ascii="Times New Roman" w:hAnsi="Times New Roman" w:cs="Times New Roman"/>
                      <w:sz w:val="24"/>
                      <w:szCs w:val="24"/>
                    </w:rPr>
                    <w:t xml:space="preserve">- </w:t>
                  </w:r>
                  <w:r w:rsidR="00A64299" w:rsidRPr="00A64299">
                    <w:rPr>
                      <w:rFonts w:ascii="Times New Roman" w:hAnsi="Times New Roman" w:cs="Times New Roman"/>
                      <w:sz w:val="24"/>
                      <w:szCs w:val="24"/>
                    </w:rPr>
                    <w:t xml:space="preserve">uzkrāsota numura zīme ( CSL 9. panta otrā daļa); </w:t>
                  </w:r>
                </w:p>
                <w:p w14:paraId="42DED652" w14:textId="70906026" w:rsidR="00A64299" w:rsidRPr="00A64299" w:rsidRDefault="00A64299" w:rsidP="00A64299">
                  <w:pPr>
                    <w:pStyle w:val="ListParagraph"/>
                    <w:spacing w:after="0" w:line="240" w:lineRule="auto"/>
                    <w:ind w:left="0" w:firstLine="654"/>
                    <w:jc w:val="both"/>
                    <w:rPr>
                      <w:rFonts w:ascii="Times New Roman" w:hAnsi="Times New Roman" w:cs="Times New Roman"/>
                      <w:sz w:val="24"/>
                      <w:szCs w:val="24"/>
                    </w:rPr>
                  </w:pPr>
                  <w:r w:rsidRPr="00A64299">
                    <w:rPr>
                      <w:rFonts w:ascii="Times New Roman" w:hAnsi="Times New Roman" w:cs="Times New Roman"/>
                      <w:sz w:val="24"/>
                      <w:szCs w:val="24"/>
                    </w:rPr>
                    <w:t>- reģistrācija NBS (CSL 10. panta pirmās daļas 2.</w:t>
                  </w:r>
                  <w:r w:rsidRPr="00A64299">
                    <w:rPr>
                      <w:rFonts w:ascii="Times New Roman" w:hAnsi="Times New Roman" w:cs="Times New Roman"/>
                      <w:sz w:val="24"/>
                      <w:szCs w:val="24"/>
                      <w:vertAlign w:val="superscript"/>
                    </w:rPr>
                    <w:t>1</w:t>
                  </w:r>
                  <w:r w:rsidRPr="00A64299">
                    <w:rPr>
                      <w:rFonts w:ascii="Times New Roman" w:hAnsi="Times New Roman" w:cs="Times New Roman"/>
                      <w:sz w:val="24"/>
                      <w:szCs w:val="24"/>
                    </w:rPr>
                    <w:t xml:space="preserve"> punkts);</w:t>
                  </w:r>
                </w:p>
                <w:p w14:paraId="79D0DD34" w14:textId="4224C962" w:rsidR="00A64299" w:rsidRPr="00A64299" w:rsidRDefault="00A64299" w:rsidP="00A64299">
                  <w:pPr>
                    <w:pStyle w:val="naiskr"/>
                    <w:spacing w:before="0" w:after="0"/>
                    <w:ind w:firstLine="654"/>
                    <w:jc w:val="both"/>
                  </w:pPr>
                  <w:r w:rsidRPr="00A64299">
                    <w:t>- informācijai par speciālās militārās tehnikas piekabēm piešķirts ierobežotas pieejamības statuss (CSL 14.</w:t>
                  </w:r>
                  <w:r w:rsidRPr="00A64299">
                    <w:rPr>
                      <w:vertAlign w:val="superscript"/>
                    </w:rPr>
                    <w:t>1</w:t>
                  </w:r>
                  <w:r w:rsidRPr="00A64299">
                    <w:t xml:space="preserve"> panta pirmā daļa);</w:t>
                  </w:r>
                </w:p>
                <w:p w14:paraId="5CC316CA" w14:textId="14646F38" w:rsidR="00A64299" w:rsidRPr="00A64299" w:rsidRDefault="00A64299" w:rsidP="00A64299">
                  <w:pPr>
                    <w:pStyle w:val="naiskr"/>
                    <w:spacing w:before="0" w:after="0"/>
                    <w:ind w:firstLine="709"/>
                    <w:jc w:val="both"/>
                  </w:pPr>
                  <w:r w:rsidRPr="00A64299">
                    <w:t>- neveikt tehnisko apskati, bet NBS kontrolē</w:t>
                  </w:r>
                  <w:r>
                    <w:t>s</w:t>
                  </w:r>
                  <w:r w:rsidRPr="00A64299">
                    <w:t xml:space="preserve"> tehnisko stāvokli (CSL 16. panta ceturtā daļa);</w:t>
                  </w:r>
                </w:p>
                <w:p w14:paraId="434E29CF" w14:textId="456F662A" w:rsidR="00A64299" w:rsidRPr="00A64299" w:rsidRDefault="00A64299" w:rsidP="00A64299">
                  <w:pPr>
                    <w:pStyle w:val="naiskr"/>
                    <w:spacing w:before="0" w:after="0"/>
                    <w:ind w:firstLine="709"/>
                    <w:jc w:val="both"/>
                  </w:pPr>
                  <w:r w:rsidRPr="00A64299">
                    <w:t>- neattiecināt CSL nosacījumu par atļaujas piedalīties ceļu satiksmē izsniegšanu un valsts tehnisko apskati (CSL 16. panta 6.</w:t>
                  </w:r>
                  <w:r w:rsidRPr="00A64299">
                    <w:rPr>
                      <w:vertAlign w:val="superscript"/>
                    </w:rPr>
                    <w:t xml:space="preserve">2 </w:t>
                  </w:r>
                  <w:r w:rsidRPr="00A64299">
                    <w:t>daļa);</w:t>
                  </w:r>
                </w:p>
                <w:p w14:paraId="0EF3E572" w14:textId="11D5CDF6" w:rsidR="00471AA7" w:rsidRPr="00A64299" w:rsidRDefault="00A64299" w:rsidP="00A64299">
                  <w:pPr>
                    <w:pStyle w:val="naiskr"/>
                    <w:spacing w:before="0" w:after="0"/>
                    <w:ind w:firstLine="709"/>
                    <w:jc w:val="both"/>
                    <w:rPr>
                      <w:bCs/>
                    </w:rPr>
                  </w:pPr>
                  <w:r w:rsidRPr="00A64299">
                    <w:t>- noteikt tiesības vadīt speciālo militāro tehniku savienojumā ar tās piekabēm profesionālā dienesta karavīram vai zemessargam, kuram piešķirta TR1 vai TR2 kategorijas traktortehnikas vadītāja apliecība vai B kategorijas transportlīdzekļu vadītāja apliecība</w:t>
                  </w:r>
                  <w:r w:rsidRPr="00A64299">
                    <w:rPr>
                      <w:bCs/>
                    </w:rPr>
                    <w:t xml:space="preserve"> (CSL 23. panta devītā daļa).</w:t>
                  </w:r>
                </w:p>
                <w:p w14:paraId="481B5966" w14:textId="2EB8399F" w:rsidR="00EC6101" w:rsidRDefault="00EC6101" w:rsidP="00EC6101">
                  <w:pPr>
                    <w:spacing w:after="0" w:line="240" w:lineRule="auto"/>
                    <w:ind w:firstLine="537"/>
                    <w:jc w:val="both"/>
                    <w:rPr>
                      <w:rFonts w:ascii="Times New Roman" w:hAnsi="Times New Roman" w:cs="Times New Roman"/>
                      <w:bCs/>
                      <w:sz w:val="24"/>
                      <w:szCs w:val="24"/>
                    </w:rPr>
                  </w:pPr>
                  <w:r>
                    <w:rPr>
                      <w:rFonts w:ascii="Times New Roman" w:hAnsi="Times New Roman" w:cs="Times New Roman"/>
                      <w:bCs/>
                      <w:sz w:val="24"/>
                      <w:szCs w:val="24"/>
                    </w:rPr>
                    <w:t>NBS</w:t>
                  </w:r>
                  <w:r w:rsidR="008F59EE" w:rsidRPr="00A64299">
                    <w:rPr>
                      <w:rFonts w:ascii="Times New Roman" w:hAnsi="Times New Roman" w:cs="Times New Roman"/>
                      <w:bCs/>
                      <w:sz w:val="24"/>
                      <w:szCs w:val="24"/>
                    </w:rPr>
                    <w:t xml:space="preserve"> ir kompetentā institūcija, kas nosaka, vai konkrētais transportlīdzeklis ir speciālā militārā </w:t>
                  </w:r>
                  <w:r w:rsidR="008F59EE" w:rsidRPr="00A64299">
                    <w:rPr>
                      <w:rFonts w:ascii="Times New Roman" w:hAnsi="Times New Roman" w:cs="Times New Roman"/>
                      <w:bCs/>
                      <w:sz w:val="24"/>
                      <w:szCs w:val="24"/>
                    </w:rPr>
                    <w:lastRenderedPageBreak/>
                    <w:t>tehnika</w:t>
                  </w:r>
                  <w:r w:rsidR="00B5315A">
                    <w:rPr>
                      <w:rFonts w:ascii="Times New Roman" w:hAnsi="Times New Roman" w:cs="Times New Roman"/>
                      <w:bCs/>
                      <w:sz w:val="24"/>
                      <w:szCs w:val="24"/>
                    </w:rPr>
                    <w:t xml:space="preserve"> un </w:t>
                  </w:r>
                  <w:r w:rsidR="00A64299" w:rsidRPr="00A64299">
                    <w:rPr>
                      <w:rFonts w:ascii="Times New Roman" w:hAnsi="Times New Roman" w:cs="Times New Roman"/>
                      <w:bCs/>
                      <w:sz w:val="24"/>
                      <w:szCs w:val="24"/>
                    </w:rPr>
                    <w:t>vai attiecīgā piekabe būs speciālās militārās tehnikas piekabe</w:t>
                  </w:r>
                  <w:r>
                    <w:rPr>
                      <w:rFonts w:ascii="Times New Roman" w:hAnsi="Times New Roman" w:cs="Times New Roman"/>
                      <w:bCs/>
                      <w:sz w:val="24"/>
                      <w:szCs w:val="24"/>
                    </w:rPr>
                    <w:t xml:space="preserve">. </w:t>
                  </w:r>
                </w:p>
                <w:p w14:paraId="62FE2ECF" w14:textId="6C766341" w:rsidR="00EC6101" w:rsidRPr="00C9450C" w:rsidRDefault="006C546C" w:rsidP="00C9450C">
                  <w:pPr>
                    <w:spacing w:after="0" w:line="240" w:lineRule="auto"/>
                    <w:ind w:firstLine="537"/>
                    <w:jc w:val="both"/>
                    <w:rPr>
                      <w:rFonts w:ascii="Times New Roman" w:hAnsi="Times New Roman" w:cs="Times New Roman"/>
                      <w:bCs/>
                      <w:sz w:val="24"/>
                      <w:szCs w:val="24"/>
                    </w:rPr>
                  </w:pPr>
                  <w:r w:rsidRPr="00C03B12">
                    <w:rPr>
                      <w:rFonts w:ascii="Times New Roman" w:hAnsi="Times New Roman" w:cs="Times New Roman"/>
                      <w:bCs/>
                      <w:sz w:val="24"/>
                      <w:szCs w:val="24"/>
                    </w:rPr>
                    <w:t>I</w:t>
                  </w:r>
                  <w:r w:rsidR="00EC6101" w:rsidRPr="00C03B12">
                    <w:rPr>
                      <w:rFonts w:ascii="Times New Roman" w:hAnsi="Times New Roman" w:cs="Times New Roman"/>
                      <w:bCs/>
                      <w:sz w:val="24"/>
                      <w:szCs w:val="24"/>
                    </w:rPr>
                    <w:t>eviešot speciālās militārās tehnikas</w:t>
                  </w:r>
                  <w:r w:rsidR="00F9702C" w:rsidRPr="00C03B12">
                    <w:rPr>
                      <w:rFonts w:ascii="Times New Roman" w:hAnsi="Times New Roman" w:cs="Times New Roman"/>
                      <w:bCs/>
                      <w:sz w:val="24"/>
                      <w:szCs w:val="24"/>
                    </w:rPr>
                    <w:t xml:space="preserve"> </w:t>
                  </w:r>
                  <w:r w:rsidR="00EC6101" w:rsidRPr="00C03B12">
                    <w:rPr>
                      <w:rFonts w:ascii="Times New Roman" w:hAnsi="Times New Roman" w:cs="Times New Roman"/>
                      <w:bCs/>
                      <w:sz w:val="24"/>
                      <w:szCs w:val="24"/>
                    </w:rPr>
                    <w:t xml:space="preserve">piekabes </w:t>
                  </w:r>
                  <w:r w:rsidR="00F9702C" w:rsidRPr="00C03B12">
                    <w:rPr>
                      <w:rFonts w:ascii="Times New Roman" w:hAnsi="Times New Roman" w:cs="Times New Roman"/>
                      <w:bCs/>
                      <w:sz w:val="24"/>
                      <w:szCs w:val="24"/>
                    </w:rPr>
                    <w:t>kategoriju, pēc analoģijas</w:t>
                  </w:r>
                  <w:r w:rsidR="00EC6101" w:rsidRPr="00C03B12">
                    <w:rPr>
                      <w:rFonts w:ascii="Times New Roman" w:hAnsi="Times New Roman" w:cs="Times New Roman"/>
                      <w:bCs/>
                      <w:sz w:val="24"/>
                      <w:szCs w:val="24"/>
                    </w:rPr>
                    <w:t xml:space="preserve"> ar speciālo militāro</w:t>
                  </w:r>
                  <w:r w:rsidR="00F9702C" w:rsidRPr="00C03B12">
                    <w:rPr>
                      <w:rFonts w:ascii="Times New Roman" w:hAnsi="Times New Roman" w:cs="Times New Roman"/>
                      <w:bCs/>
                      <w:sz w:val="24"/>
                      <w:szCs w:val="24"/>
                    </w:rPr>
                    <w:t xml:space="preserve"> tehniku a</w:t>
                  </w:r>
                  <w:r w:rsidR="00EC6101" w:rsidRPr="00C03B12">
                    <w:rPr>
                      <w:rFonts w:ascii="Times New Roman" w:hAnsi="Times New Roman" w:cs="Times New Roman"/>
                      <w:bCs/>
                      <w:sz w:val="24"/>
                      <w:szCs w:val="24"/>
                    </w:rPr>
                    <w:t xml:space="preserve">rī attiecībā uz speciālās militārās tehnikas piekabi nebūtu attiecināms pienākums veikt </w:t>
                  </w:r>
                  <w:r w:rsidR="00EC6101" w:rsidRPr="00C03B12">
                    <w:rPr>
                      <w:rFonts w:ascii="Times New Roman" w:hAnsi="Times New Roman" w:cs="Times New Roman"/>
                      <w:bCs/>
                      <w:sz w:val="24"/>
                      <w:szCs w:val="24"/>
                      <w:shd w:val="clear" w:color="auto" w:fill="FFFFFF"/>
                    </w:rPr>
                    <w:t>ī</w:t>
                  </w:r>
                  <w:r w:rsidR="00EC6101" w:rsidRPr="00C03B12">
                    <w:rPr>
                      <w:rFonts w:ascii="Times New Roman" w:hAnsi="Times New Roman" w:cs="Times New Roman"/>
                      <w:sz w:val="24"/>
                      <w:szCs w:val="24"/>
                    </w:rPr>
                    <w:t>pašnieka civiltiesisko atbildību. Šādi apsvērumi saistīti ar to, ka speciālās militārās tehnikas piekabes tiks izmantotas savienojumā ar speciālo militāro tehniku</w:t>
                  </w:r>
                  <w:r w:rsidR="00E6602E" w:rsidRPr="00C03B12">
                    <w:rPr>
                      <w:rFonts w:ascii="Times New Roman" w:hAnsi="Times New Roman" w:cs="Times New Roman"/>
                      <w:sz w:val="24"/>
                      <w:szCs w:val="24"/>
                    </w:rPr>
                    <w:t xml:space="preserve"> atbilstoši</w:t>
                  </w:r>
                  <w:r w:rsidR="00EC6101" w:rsidRPr="00C03B12">
                    <w:rPr>
                      <w:rFonts w:ascii="Times New Roman" w:hAnsi="Times New Roman" w:cs="Times New Roman"/>
                      <w:sz w:val="24"/>
                      <w:szCs w:val="24"/>
                    </w:rPr>
                    <w:t xml:space="preserve"> </w:t>
                  </w:r>
                  <w:r w:rsidR="00EC6101" w:rsidRPr="00C03B12">
                    <w:rPr>
                      <w:rFonts w:ascii="Times New Roman" w:eastAsia="Times New Roman" w:hAnsi="Times New Roman" w:cs="Times New Roman"/>
                      <w:bCs/>
                      <w:sz w:val="24"/>
                      <w:szCs w:val="24"/>
                      <w:lang w:eastAsia="lv-LV"/>
                    </w:rPr>
                    <w:t xml:space="preserve">Ministru kabineta </w:t>
                  </w:r>
                  <w:r w:rsidR="00EC6101" w:rsidRPr="00C03B12">
                    <w:rPr>
                      <w:rFonts w:ascii="Times New Roman" w:eastAsia="Times New Roman" w:hAnsi="Times New Roman" w:cs="Times New Roman"/>
                      <w:sz w:val="24"/>
                      <w:szCs w:val="24"/>
                      <w:lang w:eastAsia="lv-LV"/>
                    </w:rPr>
                    <w:t>2015.</w:t>
                  </w:r>
                  <w:r w:rsidR="001323B6" w:rsidRPr="00C03B12">
                    <w:rPr>
                      <w:rFonts w:ascii="Times New Roman" w:eastAsia="Times New Roman" w:hAnsi="Times New Roman" w:cs="Times New Roman"/>
                      <w:sz w:val="24"/>
                      <w:szCs w:val="24"/>
                      <w:lang w:eastAsia="lv-LV"/>
                    </w:rPr>
                    <w:t xml:space="preserve"> </w:t>
                  </w:r>
                  <w:r w:rsidR="00EC6101" w:rsidRPr="00C03B12">
                    <w:rPr>
                      <w:rFonts w:ascii="Times New Roman" w:eastAsia="Times New Roman" w:hAnsi="Times New Roman" w:cs="Times New Roman"/>
                      <w:sz w:val="24"/>
                      <w:szCs w:val="24"/>
                      <w:lang w:eastAsia="lv-LV"/>
                    </w:rPr>
                    <w:t>gada 2.</w:t>
                  </w:r>
                  <w:r w:rsidR="001323B6" w:rsidRPr="00C03B12">
                    <w:rPr>
                      <w:rFonts w:ascii="Times New Roman" w:eastAsia="Times New Roman" w:hAnsi="Times New Roman" w:cs="Times New Roman"/>
                      <w:sz w:val="24"/>
                      <w:szCs w:val="24"/>
                      <w:lang w:eastAsia="lv-LV"/>
                    </w:rPr>
                    <w:t xml:space="preserve"> </w:t>
                  </w:r>
                  <w:r w:rsidR="00EC6101" w:rsidRPr="00C03B12">
                    <w:rPr>
                      <w:rFonts w:ascii="Times New Roman" w:eastAsia="Times New Roman" w:hAnsi="Times New Roman" w:cs="Times New Roman"/>
                      <w:sz w:val="24"/>
                      <w:szCs w:val="24"/>
                      <w:lang w:eastAsia="lv-LV"/>
                    </w:rPr>
                    <w:t>jūnij</w:t>
                  </w:r>
                  <w:r w:rsidR="001323B6" w:rsidRPr="00C03B12">
                    <w:rPr>
                      <w:rFonts w:ascii="Times New Roman" w:eastAsia="Times New Roman" w:hAnsi="Times New Roman" w:cs="Times New Roman"/>
                      <w:sz w:val="24"/>
                      <w:szCs w:val="24"/>
                      <w:lang w:eastAsia="lv-LV"/>
                    </w:rPr>
                    <w:t>a</w:t>
                  </w:r>
                  <w:r w:rsidR="00EC6101" w:rsidRPr="00C03B12">
                    <w:rPr>
                      <w:rFonts w:ascii="Times New Roman" w:eastAsia="Times New Roman" w:hAnsi="Times New Roman" w:cs="Times New Roman"/>
                      <w:sz w:val="24"/>
                      <w:szCs w:val="24"/>
                      <w:lang w:eastAsia="lv-LV"/>
                    </w:rPr>
                    <w:t xml:space="preserve"> </w:t>
                  </w:r>
                  <w:r w:rsidR="00EC6101" w:rsidRPr="00C03B12">
                    <w:rPr>
                      <w:rFonts w:ascii="Times New Roman" w:eastAsia="Times New Roman" w:hAnsi="Times New Roman" w:cs="Times New Roman"/>
                      <w:bCs/>
                      <w:sz w:val="24"/>
                      <w:szCs w:val="24"/>
                      <w:lang w:eastAsia="lv-LV"/>
                    </w:rPr>
                    <w:t>noteikumu Nr.279</w:t>
                  </w:r>
                  <w:r w:rsidR="00EC6101" w:rsidRPr="00C03B12">
                    <w:rPr>
                      <w:rFonts w:ascii="Times New Roman" w:eastAsia="Times New Roman" w:hAnsi="Times New Roman" w:cs="Times New Roman"/>
                      <w:sz w:val="24"/>
                      <w:szCs w:val="24"/>
                      <w:lang w:eastAsia="lv-LV"/>
                    </w:rPr>
                    <w:t xml:space="preserve"> “Ceļu satiksmes noteikumi”</w:t>
                  </w:r>
                  <w:r w:rsidR="00EC6101" w:rsidRPr="00C03B12">
                    <w:rPr>
                      <w:rFonts w:ascii="Times New Roman" w:hAnsi="Times New Roman" w:cs="Times New Roman"/>
                      <w:sz w:val="24"/>
                      <w:szCs w:val="24"/>
                    </w:rPr>
                    <w:t xml:space="preserve"> 3. punkt</w:t>
                  </w:r>
                  <w:r w:rsidR="00E6602E" w:rsidRPr="00C03B12">
                    <w:rPr>
                      <w:rFonts w:ascii="Times New Roman" w:hAnsi="Times New Roman" w:cs="Times New Roman"/>
                      <w:sz w:val="24"/>
                      <w:szCs w:val="24"/>
                    </w:rPr>
                    <w:t xml:space="preserve">ā noteiktajai </w:t>
                  </w:r>
                  <w:r w:rsidR="00EC6101" w:rsidRPr="00C03B12">
                    <w:rPr>
                      <w:rFonts w:ascii="Times New Roman" w:hAnsi="Times New Roman" w:cs="Times New Roman"/>
                      <w:sz w:val="24"/>
                      <w:szCs w:val="24"/>
                    </w:rPr>
                    <w:t xml:space="preserve"> </w:t>
                  </w:r>
                  <w:r w:rsidR="00E6602E" w:rsidRPr="00C03B12">
                    <w:rPr>
                      <w:rFonts w:ascii="Times New Roman" w:hAnsi="Times New Roman" w:cs="Times New Roman"/>
                      <w:sz w:val="24"/>
                      <w:szCs w:val="24"/>
                    </w:rPr>
                    <w:t>kārtībai.</w:t>
                  </w:r>
                  <w:r w:rsidR="00364E18" w:rsidRPr="00C03B12">
                    <w:rPr>
                      <w:rFonts w:ascii="Times New Roman" w:hAnsi="Times New Roman" w:cs="Times New Roman"/>
                      <w:sz w:val="24"/>
                      <w:szCs w:val="24"/>
                    </w:rPr>
                    <w:t xml:space="preserve"> </w:t>
                  </w:r>
                  <w:r w:rsidRPr="00C03B12">
                    <w:rPr>
                      <w:rFonts w:ascii="Times New Roman" w:hAnsi="Times New Roman" w:cs="Times New Roman"/>
                      <w:sz w:val="24"/>
                      <w:szCs w:val="24"/>
                    </w:rPr>
                    <w:t>S</w:t>
                  </w:r>
                  <w:r w:rsidR="00EC6101" w:rsidRPr="00C03B12">
                    <w:rPr>
                      <w:rFonts w:ascii="Times New Roman" w:hAnsi="Times New Roman" w:cs="Times New Roman"/>
                      <w:sz w:val="24"/>
                      <w:szCs w:val="24"/>
                    </w:rPr>
                    <w:t xml:space="preserve">peciālā militārā tehnika ir tiesīga pārvietoties pa </w:t>
                  </w:r>
                  <w:r w:rsidR="00EC6101" w:rsidRPr="00C9450C">
                    <w:rPr>
                      <w:rFonts w:ascii="Times New Roman" w:hAnsi="Times New Roman" w:cs="Times New Roman"/>
                      <w:sz w:val="24"/>
                      <w:szCs w:val="24"/>
                    </w:rPr>
                    <w:t>ceļu</w:t>
                  </w:r>
                  <w:r w:rsidR="00C9450C">
                    <w:rPr>
                      <w:rFonts w:ascii="Times New Roman" w:hAnsi="Times New Roman" w:cs="Times New Roman"/>
                      <w:sz w:val="24"/>
                      <w:szCs w:val="24"/>
                    </w:rPr>
                    <w:t>, ja</w:t>
                  </w:r>
                  <w:r w:rsidR="00EC6101" w:rsidRPr="00C9450C">
                    <w:rPr>
                      <w:rFonts w:ascii="Times New Roman" w:hAnsi="Times New Roman" w:cs="Times New Roman"/>
                      <w:sz w:val="24"/>
                      <w:szCs w:val="24"/>
                    </w:rPr>
                    <w:t>:</w:t>
                  </w:r>
                </w:p>
                <w:p w14:paraId="4C56AA05" w14:textId="287C0A5A" w:rsidR="00EC6101" w:rsidRPr="00EC6101" w:rsidRDefault="00EC6101" w:rsidP="00C9450C">
                  <w:pPr>
                    <w:spacing w:after="0" w:line="240" w:lineRule="auto"/>
                    <w:ind w:firstLine="654"/>
                    <w:jc w:val="both"/>
                    <w:rPr>
                      <w:rFonts w:ascii="Times New Roman" w:eastAsia="Times New Roman" w:hAnsi="Times New Roman" w:cs="Times New Roman"/>
                      <w:sz w:val="24"/>
                      <w:szCs w:val="24"/>
                      <w:lang w:eastAsia="lv-LV"/>
                    </w:rPr>
                  </w:pPr>
                  <w:r w:rsidRPr="00C9450C">
                    <w:rPr>
                      <w:rFonts w:ascii="Times New Roman" w:eastAsia="Times New Roman" w:hAnsi="Times New Roman" w:cs="Times New Roman"/>
                      <w:sz w:val="24"/>
                      <w:szCs w:val="24"/>
                      <w:lang w:eastAsia="lv-LV"/>
                    </w:rPr>
                    <w:t>-</w:t>
                  </w:r>
                  <w:r w:rsidRPr="00EC6101">
                    <w:rPr>
                      <w:rFonts w:ascii="Times New Roman" w:eastAsia="Times New Roman" w:hAnsi="Times New Roman" w:cs="Times New Roman"/>
                      <w:sz w:val="24"/>
                      <w:szCs w:val="24"/>
                      <w:lang w:eastAsia="lv-LV"/>
                    </w:rPr>
                    <w:t> </w:t>
                  </w:r>
                  <w:r w:rsidR="00C9450C" w:rsidRPr="00EC6101">
                    <w:rPr>
                      <w:rFonts w:ascii="Times New Roman" w:eastAsia="Times New Roman" w:hAnsi="Times New Roman" w:cs="Times New Roman"/>
                      <w:sz w:val="24"/>
                      <w:szCs w:val="24"/>
                      <w:lang w:eastAsia="lv-LV"/>
                    </w:rPr>
                    <w:t xml:space="preserve"> </w:t>
                  </w:r>
                  <w:r w:rsidR="00C9450C">
                    <w:rPr>
                      <w:rFonts w:ascii="Times New Roman" w:eastAsia="Times New Roman" w:hAnsi="Times New Roman" w:cs="Times New Roman"/>
                      <w:sz w:val="24"/>
                      <w:szCs w:val="24"/>
                      <w:lang w:eastAsia="lv-LV"/>
                    </w:rPr>
                    <w:t>a</w:t>
                  </w:r>
                  <w:r w:rsidRPr="00EC6101">
                    <w:rPr>
                      <w:rFonts w:ascii="Times New Roman" w:eastAsia="Times New Roman" w:hAnsi="Times New Roman" w:cs="Times New Roman"/>
                      <w:sz w:val="24"/>
                      <w:szCs w:val="24"/>
                      <w:lang w:eastAsia="lv-LV"/>
                    </w:rPr>
                    <w:t>ttiecīgie ceļa posmi tiek slēgti normatīvajos aktos par ceļu satiksmi noteiktajā kārtībā;</w:t>
                  </w:r>
                </w:p>
                <w:p w14:paraId="33C54E18" w14:textId="6044D303" w:rsidR="00EC6101" w:rsidRPr="00EC6101" w:rsidRDefault="00EC6101" w:rsidP="00C9450C">
                  <w:pPr>
                    <w:spacing w:after="0" w:line="240" w:lineRule="auto"/>
                    <w:ind w:firstLine="654"/>
                    <w:jc w:val="both"/>
                    <w:rPr>
                      <w:rFonts w:ascii="Times New Roman" w:eastAsia="Times New Roman" w:hAnsi="Times New Roman" w:cs="Times New Roman"/>
                      <w:sz w:val="24"/>
                      <w:szCs w:val="24"/>
                      <w:lang w:eastAsia="lv-LV"/>
                    </w:rPr>
                  </w:pPr>
                  <w:r w:rsidRPr="00C9450C">
                    <w:rPr>
                      <w:rFonts w:ascii="Times New Roman" w:eastAsia="Times New Roman" w:hAnsi="Times New Roman" w:cs="Times New Roman"/>
                      <w:sz w:val="24"/>
                      <w:szCs w:val="24"/>
                      <w:lang w:eastAsia="lv-LV"/>
                    </w:rPr>
                    <w:t>-</w:t>
                  </w:r>
                  <w:r w:rsidRPr="00EC6101">
                    <w:rPr>
                      <w:rFonts w:ascii="Times New Roman" w:eastAsia="Times New Roman" w:hAnsi="Times New Roman" w:cs="Times New Roman"/>
                      <w:sz w:val="24"/>
                      <w:szCs w:val="24"/>
                      <w:lang w:eastAsia="lv-LV"/>
                    </w:rPr>
                    <w:t>  speciālo militāro tehniku pavada Militārā policija;</w:t>
                  </w:r>
                </w:p>
                <w:p w14:paraId="3351C51D" w14:textId="459904A8" w:rsidR="00EC6101" w:rsidRPr="00EC6101" w:rsidRDefault="00EC6101" w:rsidP="00C9450C">
                  <w:pPr>
                    <w:spacing w:after="0" w:line="240" w:lineRule="auto"/>
                    <w:ind w:firstLine="654"/>
                    <w:jc w:val="both"/>
                    <w:rPr>
                      <w:rFonts w:ascii="Times New Roman" w:eastAsia="Times New Roman" w:hAnsi="Times New Roman" w:cs="Times New Roman"/>
                      <w:sz w:val="24"/>
                      <w:szCs w:val="24"/>
                      <w:lang w:eastAsia="lv-LV"/>
                    </w:rPr>
                  </w:pPr>
                  <w:r w:rsidRPr="00C9450C">
                    <w:rPr>
                      <w:rFonts w:ascii="Times New Roman" w:eastAsia="Times New Roman" w:hAnsi="Times New Roman" w:cs="Times New Roman"/>
                      <w:sz w:val="24"/>
                      <w:szCs w:val="24"/>
                      <w:lang w:eastAsia="lv-LV"/>
                    </w:rPr>
                    <w:t>-</w:t>
                  </w:r>
                  <w:r w:rsidRPr="00EC6101">
                    <w:rPr>
                      <w:rFonts w:ascii="Times New Roman" w:eastAsia="Times New Roman" w:hAnsi="Times New Roman" w:cs="Times New Roman"/>
                      <w:sz w:val="24"/>
                      <w:szCs w:val="24"/>
                      <w:lang w:eastAsia="lv-LV"/>
                    </w:rPr>
                    <w:t>  speciālajai militārajai tehnikai priekšpusē ir iedegts baltas gaismas lukturis (lukturi), aizmugurē – sarkanas gaismas lukturis (lukturi), kā arī papildus ir iedegta mirgojoša oranža (dzeltena) bākuguns, kura redzama gan no priekšpuses, gan no aizmugures.</w:t>
                  </w:r>
                </w:p>
                <w:p w14:paraId="18B7E88D" w14:textId="7929E42B" w:rsidR="00052F5A" w:rsidRPr="00666E23" w:rsidRDefault="008F59EE" w:rsidP="00364E18">
                  <w:pPr>
                    <w:spacing w:after="0" w:line="240" w:lineRule="auto"/>
                    <w:ind w:firstLine="535"/>
                    <w:jc w:val="both"/>
                    <w:rPr>
                      <w:rFonts w:ascii="Times New Roman" w:hAnsi="Times New Roman" w:cs="Times New Roman"/>
                      <w:bCs/>
                      <w:sz w:val="24"/>
                      <w:szCs w:val="24"/>
                    </w:rPr>
                  </w:pPr>
                  <w:r w:rsidRPr="00C9450C">
                    <w:rPr>
                      <w:rFonts w:ascii="Times New Roman" w:hAnsi="Times New Roman" w:cs="Times New Roman"/>
                      <w:bCs/>
                      <w:sz w:val="24"/>
                      <w:szCs w:val="24"/>
                    </w:rPr>
                    <w:t xml:space="preserve">Ņemot vērā </w:t>
                  </w:r>
                  <w:r w:rsidR="00C9450C" w:rsidRPr="00C9450C">
                    <w:rPr>
                      <w:rFonts w:ascii="Times New Roman" w:hAnsi="Times New Roman" w:cs="Times New Roman"/>
                      <w:bCs/>
                      <w:sz w:val="24"/>
                      <w:szCs w:val="24"/>
                    </w:rPr>
                    <w:t>iepriekš</w:t>
                  </w:r>
                  <w:r w:rsidR="00B5315A">
                    <w:rPr>
                      <w:rFonts w:ascii="Times New Roman" w:hAnsi="Times New Roman" w:cs="Times New Roman"/>
                      <w:bCs/>
                      <w:sz w:val="24"/>
                      <w:szCs w:val="24"/>
                    </w:rPr>
                    <w:t xml:space="preserve"> </w:t>
                  </w:r>
                  <w:r w:rsidR="00C9450C" w:rsidRPr="00C9450C">
                    <w:rPr>
                      <w:rFonts w:ascii="Times New Roman" w:hAnsi="Times New Roman" w:cs="Times New Roman"/>
                      <w:bCs/>
                      <w:sz w:val="24"/>
                      <w:szCs w:val="24"/>
                    </w:rPr>
                    <w:t>minēto, ar likumprojektu plānots veikt grozījumu OCTA likuma 3.</w:t>
                  </w:r>
                  <w:r w:rsidR="00C9450C" w:rsidRPr="00C9450C">
                    <w:rPr>
                      <w:rFonts w:ascii="Times New Roman" w:hAnsi="Times New Roman" w:cs="Times New Roman"/>
                      <w:bCs/>
                      <w:sz w:val="24"/>
                      <w:szCs w:val="24"/>
                      <w:vertAlign w:val="superscript"/>
                    </w:rPr>
                    <w:t>1</w:t>
                  </w:r>
                  <w:r w:rsidR="00C9450C" w:rsidRPr="00C9450C">
                    <w:rPr>
                      <w:rFonts w:ascii="Times New Roman" w:hAnsi="Times New Roman" w:cs="Times New Roman"/>
                      <w:bCs/>
                      <w:sz w:val="24"/>
                      <w:szCs w:val="24"/>
                    </w:rPr>
                    <w:t xml:space="preserve"> panta pirmajā daļā, nosakot, ka ī</w:t>
                  </w:r>
                  <w:r w:rsidR="00C9450C" w:rsidRPr="00C9450C">
                    <w:rPr>
                      <w:rFonts w:ascii="Times New Roman" w:hAnsi="Times New Roman" w:cs="Times New Roman"/>
                      <w:sz w:val="24"/>
                      <w:szCs w:val="24"/>
                    </w:rPr>
                    <w:t>pašnieka civiltiesisko atbildību par Latvijas Republikas Nacionālo bruņoto spēku reģistrā reģistrētas speciālās militārās tehnikas piekabes lietošanu ceļu satiksmē neapdrošina. Attiecībā uz speciālo militāro tehniku un speciālās militārās tehnikas piekabi turpmāk OCTA likumā tiks lietots saīsinājums “speciālā militārā tehnika”. L</w:t>
                  </w:r>
                  <w:r w:rsidR="00B5315A">
                    <w:rPr>
                      <w:rFonts w:ascii="Times New Roman" w:hAnsi="Times New Roman" w:cs="Times New Roman"/>
                      <w:sz w:val="24"/>
                      <w:szCs w:val="24"/>
                    </w:rPr>
                    <w:t>īdz ar to nav jāveic analoģiski</w:t>
                  </w:r>
                  <w:r w:rsidR="00C9450C" w:rsidRPr="00C9450C">
                    <w:rPr>
                      <w:rFonts w:ascii="Times New Roman" w:hAnsi="Times New Roman" w:cs="Times New Roman"/>
                      <w:sz w:val="24"/>
                      <w:szCs w:val="24"/>
                    </w:rPr>
                    <w:t xml:space="preserve"> grozījumi O</w:t>
                  </w:r>
                  <w:r w:rsidR="00C9450C">
                    <w:rPr>
                      <w:rFonts w:ascii="Times New Roman" w:hAnsi="Times New Roman" w:cs="Times New Roman"/>
                      <w:sz w:val="24"/>
                      <w:szCs w:val="24"/>
                    </w:rPr>
                    <w:t>C</w:t>
                  </w:r>
                  <w:r w:rsidR="00C9450C" w:rsidRPr="00C9450C">
                    <w:rPr>
                      <w:rFonts w:ascii="Times New Roman" w:hAnsi="Times New Roman" w:cs="Times New Roman"/>
                      <w:sz w:val="24"/>
                      <w:szCs w:val="24"/>
                    </w:rPr>
                    <w:t>TA likuma 3.</w:t>
                  </w:r>
                  <w:r w:rsidR="00C9450C" w:rsidRPr="00C9450C">
                    <w:rPr>
                      <w:rFonts w:ascii="Times New Roman" w:hAnsi="Times New Roman" w:cs="Times New Roman"/>
                      <w:sz w:val="24"/>
                      <w:szCs w:val="24"/>
                      <w:vertAlign w:val="superscript"/>
                    </w:rPr>
                    <w:t>1</w:t>
                  </w:r>
                  <w:r w:rsidR="00C9450C" w:rsidRPr="00C9450C">
                    <w:rPr>
                      <w:rFonts w:ascii="Times New Roman" w:hAnsi="Times New Roman" w:cs="Times New Roman"/>
                      <w:sz w:val="24"/>
                      <w:szCs w:val="24"/>
                    </w:rPr>
                    <w:t xml:space="preserve"> panta otr</w:t>
                  </w:r>
                  <w:r w:rsidR="00B5315A">
                    <w:rPr>
                      <w:rFonts w:ascii="Times New Roman" w:hAnsi="Times New Roman" w:cs="Times New Roman"/>
                      <w:sz w:val="24"/>
                      <w:szCs w:val="24"/>
                    </w:rPr>
                    <w:t>ajā daļā</w:t>
                  </w:r>
                  <w:r w:rsidR="00364E18">
                    <w:rPr>
                      <w:rFonts w:ascii="Times New Roman" w:hAnsi="Times New Roman" w:cs="Times New Roman"/>
                      <w:sz w:val="24"/>
                      <w:szCs w:val="24"/>
                    </w:rPr>
                    <w:t>,</w:t>
                  </w:r>
                  <w:r w:rsidR="00C9450C" w:rsidRPr="00C9450C">
                    <w:rPr>
                      <w:rFonts w:ascii="Times New Roman" w:hAnsi="Times New Roman" w:cs="Times New Roman"/>
                      <w:sz w:val="24"/>
                      <w:szCs w:val="24"/>
                    </w:rPr>
                    <w:t xml:space="preserve"> kā arī 41.</w:t>
                  </w:r>
                  <w:r w:rsidR="00C9450C" w:rsidRPr="00C9450C">
                    <w:rPr>
                      <w:rFonts w:ascii="Times New Roman" w:hAnsi="Times New Roman" w:cs="Times New Roman"/>
                      <w:sz w:val="24"/>
                      <w:szCs w:val="24"/>
                      <w:vertAlign w:val="superscript"/>
                    </w:rPr>
                    <w:t>1</w:t>
                  </w:r>
                  <w:r w:rsidR="00C9450C" w:rsidRPr="00C9450C">
                    <w:rPr>
                      <w:rFonts w:ascii="Times New Roman" w:hAnsi="Times New Roman" w:cs="Times New Roman"/>
                      <w:sz w:val="24"/>
                      <w:szCs w:val="24"/>
                    </w:rPr>
                    <w:t xml:space="preserve"> un 41.</w:t>
                  </w:r>
                  <w:r w:rsidR="00C9450C" w:rsidRPr="00C9450C">
                    <w:rPr>
                      <w:rFonts w:ascii="Times New Roman" w:hAnsi="Times New Roman" w:cs="Times New Roman"/>
                      <w:sz w:val="24"/>
                      <w:szCs w:val="24"/>
                      <w:vertAlign w:val="superscript"/>
                    </w:rPr>
                    <w:t>2</w:t>
                  </w:r>
                  <w:r w:rsidR="00C9450C" w:rsidRPr="00C9450C">
                    <w:rPr>
                      <w:rFonts w:ascii="Times New Roman" w:hAnsi="Times New Roman" w:cs="Times New Roman"/>
                      <w:sz w:val="24"/>
                      <w:szCs w:val="24"/>
                    </w:rPr>
                    <w:t xml:space="preserve"> pantā</w:t>
                  </w:r>
                  <w:r w:rsidR="00B5315A">
                    <w:rPr>
                      <w:rFonts w:ascii="Times New Roman" w:hAnsi="Times New Roman" w:cs="Times New Roman"/>
                      <w:sz w:val="24"/>
                      <w:szCs w:val="24"/>
                    </w:rPr>
                    <w:t>, kur</w:t>
                  </w:r>
                  <w:r w:rsidR="00C9450C" w:rsidRPr="00C9450C">
                    <w:rPr>
                      <w:rFonts w:ascii="Times New Roman" w:hAnsi="Times New Roman" w:cs="Times New Roman"/>
                      <w:sz w:val="24"/>
                      <w:szCs w:val="24"/>
                    </w:rPr>
                    <w:t xml:space="preserve"> noteikt</w:t>
                  </w:r>
                  <w:r w:rsidR="00B5315A">
                    <w:rPr>
                      <w:rFonts w:ascii="Times New Roman" w:hAnsi="Times New Roman" w:cs="Times New Roman"/>
                      <w:sz w:val="24"/>
                      <w:szCs w:val="24"/>
                    </w:rPr>
                    <w:t>a</w:t>
                  </w:r>
                  <w:r w:rsidR="00C9450C" w:rsidRPr="00C9450C">
                    <w:rPr>
                      <w:rFonts w:ascii="Times New Roman" w:hAnsi="Times New Roman" w:cs="Times New Roman"/>
                      <w:sz w:val="24"/>
                      <w:szCs w:val="24"/>
                    </w:rPr>
                    <w:t xml:space="preserve"> speciālās militārās tehnikas nodarīto zaudējumu atlīdzināšanas kārtība</w:t>
                  </w:r>
                  <w:r w:rsidR="00364E18">
                    <w:rPr>
                      <w:rFonts w:ascii="Times New Roman" w:hAnsi="Times New Roman" w:cs="Times New Roman"/>
                      <w:sz w:val="24"/>
                      <w:szCs w:val="24"/>
                    </w:rPr>
                    <w:t>.</w:t>
                  </w:r>
                  <w:r w:rsidR="00C9450C" w:rsidRPr="00C9450C">
                    <w:rPr>
                      <w:rFonts w:ascii="Times New Roman" w:hAnsi="Times New Roman" w:cs="Times New Roman"/>
                      <w:sz w:val="24"/>
                      <w:szCs w:val="24"/>
                    </w:rPr>
                    <w:t xml:space="preserve"> </w:t>
                  </w:r>
                  <w:r w:rsidR="00364E18">
                    <w:rPr>
                      <w:rFonts w:ascii="Times New Roman" w:hAnsi="Times New Roman" w:cs="Times New Roman"/>
                      <w:sz w:val="24"/>
                      <w:szCs w:val="24"/>
                    </w:rPr>
                    <w:t>Šīs</w:t>
                  </w:r>
                  <w:r w:rsidR="00B5315A">
                    <w:rPr>
                      <w:rFonts w:ascii="Times New Roman" w:hAnsi="Times New Roman" w:cs="Times New Roman"/>
                      <w:sz w:val="24"/>
                      <w:szCs w:val="24"/>
                    </w:rPr>
                    <w:t xml:space="preserve"> normas arī </w:t>
                  </w:r>
                  <w:r w:rsidR="00C9450C" w:rsidRPr="00C9450C">
                    <w:rPr>
                      <w:rFonts w:ascii="Times New Roman" w:hAnsi="Times New Roman" w:cs="Times New Roman"/>
                      <w:sz w:val="24"/>
                      <w:szCs w:val="24"/>
                    </w:rPr>
                    <w:t>tiks attiecināta</w:t>
                  </w:r>
                  <w:r w:rsidR="00B5315A">
                    <w:rPr>
                      <w:rFonts w:ascii="Times New Roman" w:hAnsi="Times New Roman" w:cs="Times New Roman"/>
                      <w:sz w:val="24"/>
                      <w:szCs w:val="24"/>
                    </w:rPr>
                    <w:t>s</w:t>
                  </w:r>
                  <w:r w:rsidR="00C9450C" w:rsidRPr="00C9450C">
                    <w:rPr>
                      <w:rFonts w:ascii="Times New Roman" w:hAnsi="Times New Roman" w:cs="Times New Roman"/>
                      <w:sz w:val="24"/>
                      <w:szCs w:val="24"/>
                    </w:rPr>
                    <w:t xml:space="preserve"> uz speciālās militārās tehnikas piekabes nodarītajiem zaudējumiem.</w:t>
                  </w:r>
                </w:p>
              </w:tc>
            </w:tr>
            <w:tr w:rsidR="0001268A" w:rsidRPr="003A01DF" w14:paraId="6955539D" w14:textId="77777777" w:rsidTr="00C03B12">
              <w:trPr>
                <w:tblCellSpacing w:w="15" w:type="dxa"/>
              </w:trPr>
              <w:tc>
                <w:tcPr>
                  <w:tcW w:w="4941" w:type="pct"/>
                  <w:tcBorders>
                    <w:top w:val="outset" w:sz="6" w:space="0" w:color="auto"/>
                    <w:left w:val="outset" w:sz="6" w:space="0" w:color="auto"/>
                    <w:bottom w:val="outset" w:sz="6" w:space="0" w:color="auto"/>
                    <w:right w:val="outset" w:sz="6" w:space="0" w:color="auto"/>
                  </w:tcBorders>
                  <w:hideMark/>
                </w:tcPr>
                <w:p w14:paraId="45F529E7" w14:textId="3AF9D7C1" w:rsidR="008F59EE" w:rsidRPr="003A01DF" w:rsidRDefault="008F59EE" w:rsidP="007F2F22">
                  <w:pPr>
                    <w:ind w:firstLine="711"/>
                    <w:jc w:val="both"/>
                    <w:rPr>
                      <w:rFonts w:ascii="Times New Roman" w:hAnsi="Times New Roman" w:cs="Times New Roman"/>
                      <w:color w:val="1F497D"/>
                      <w:sz w:val="24"/>
                      <w:szCs w:val="24"/>
                    </w:rPr>
                  </w:pPr>
                </w:p>
              </w:tc>
            </w:tr>
          </w:tbl>
          <w:p w14:paraId="06DE7B6D" w14:textId="3DBA78A9" w:rsidR="00FC39B3" w:rsidRPr="003A01DF" w:rsidRDefault="00FC39B3" w:rsidP="003470D2">
            <w:pPr>
              <w:pStyle w:val="NoSpacing"/>
              <w:jc w:val="both"/>
              <w:rPr>
                <w:rFonts w:ascii="Times New Roman" w:eastAsia="Times New Roman" w:hAnsi="Times New Roman" w:cs="Times New Roman"/>
                <w:bCs/>
                <w:sz w:val="24"/>
                <w:szCs w:val="24"/>
              </w:rPr>
            </w:pPr>
          </w:p>
        </w:tc>
      </w:tr>
      <w:tr w:rsidR="0001268A" w:rsidRPr="003A01DF" w14:paraId="4D9DB9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55D46"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3810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1D68448" w14:textId="3063C76B" w:rsidR="00E5323B" w:rsidRPr="003A01DF" w:rsidRDefault="000D6031" w:rsidP="00364E18">
            <w:pPr>
              <w:spacing w:after="0" w:line="240" w:lineRule="auto"/>
              <w:jc w:val="both"/>
              <w:rPr>
                <w:rFonts w:ascii="Times New Roman" w:eastAsia="Times New Roman" w:hAnsi="Times New Roman" w:cs="Times New Roman"/>
                <w:iCs/>
                <w:sz w:val="24"/>
                <w:szCs w:val="24"/>
                <w:lang w:eastAsia="lv-LV"/>
              </w:rPr>
            </w:pPr>
            <w:r w:rsidRPr="003A01DF">
              <w:rPr>
                <w:rFonts w:ascii="Times New Roman" w:hAnsi="Times New Roman" w:cs="Times New Roman"/>
                <w:sz w:val="24"/>
                <w:szCs w:val="24"/>
              </w:rPr>
              <w:t xml:space="preserve">Likumprojekta izstrādes gaitā notikušas konsultācijas ar </w:t>
            </w:r>
            <w:r w:rsidR="00364E18">
              <w:rPr>
                <w:rFonts w:ascii="Times New Roman" w:hAnsi="Times New Roman" w:cs="Times New Roman"/>
                <w:sz w:val="24"/>
                <w:szCs w:val="24"/>
              </w:rPr>
              <w:t>LTAB,</w:t>
            </w:r>
            <w:r w:rsidR="00666E23">
              <w:rPr>
                <w:rFonts w:ascii="Times New Roman" w:hAnsi="Times New Roman" w:cs="Times New Roman"/>
                <w:sz w:val="24"/>
                <w:szCs w:val="24"/>
              </w:rPr>
              <w:t xml:space="preserve"> kas atbilstoši OCTA </w:t>
            </w:r>
            <w:r w:rsidRPr="003A01DF">
              <w:rPr>
                <w:rFonts w:ascii="Times New Roman" w:hAnsi="Times New Roman" w:cs="Times New Roman"/>
                <w:sz w:val="24"/>
                <w:szCs w:val="24"/>
              </w:rPr>
              <w:t>44.</w:t>
            </w:r>
            <w:r w:rsidR="00666E23">
              <w:rPr>
                <w:rFonts w:ascii="Times New Roman" w:hAnsi="Times New Roman" w:cs="Times New Roman"/>
                <w:sz w:val="24"/>
                <w:szCs w:val="24"/>
              </w:rPr>
              <w:t xml:space="preserve"> </w:t>
            </w:r>
            <w:r w:rsidRPr="003A01DF">
              <w:rPr>
                <w:rFonts w:ascii="Times New Roman" w:hAnsi="Times New Roman" w:cs="Times New Roman"/>
                <w:sz w:val="24"/>
                <w:szCs w:val="24"/>
              </w:rPr>
              <w:t>panta pirmajai daļai ir atbildīga par negadījumā cietušo trešo personu interešu aizsardzību un apdrošināšanas sistēmas stabilitāti un attīstību valstī</w:t>
            </w:r>
            <w:r w:rsidR="00666E23">
              <w:rPr>
                <w:rFonts w:ascii="Times New Roman" w:hAnsi="Times New Roman" w:cs="Times New Roman"/>
                <w:sz w:val="24"/>
                <w:szCs w:val="24"/>
              </w:rPr>
              <w:t xml:space="preserve">, kā </w:t>
            </w:r>
            <w:r w:rsidR="00364E18">
              <w:rPr>
                <w:rFonts w:ascii="Times New Roman" w:hAnsi="Times New Roman" w:cs="Times New Roman"/>
                <w:sz w:val="24"/>
                <w:szCs w:val="24"/>
              </w:rPr>
              <w:t xml:space="preserve">arī </w:t>
            </w:r>
            <w:r w:rsidR="00B5315A">
              <w:rPr>
                <w:rFonts w:ascii="Times New Roman" w:hAnsi="Times New Roman" w:cs="Times New Roman"/>
                <w:sz w:val="24"/>
                <w:szCs w:val="24"/>
              </w:rPr>
              <w:t xml:space="preserve">atbilstoši </w:t>
            </w:r>
            <w:r w:rsidR="00364E18">
              <w:rPr>
                <w:rFonts w:ascii="Times New Roman" w:hAnsi="Times New Roman" w:cs="Times New Roman"/>
                <w:sz w:val="24"/>
                <w:szCs w:val="24"/>
              </w:rPr>
              <w:t xml:space="preserve">OCTA likuma </w:t>
            </w:r>
            <w:r w:rsidR="00B5315A">
              <w:rPr>
                <w:rFonts w:ascii="Times New Roman" w:hAnsi="Times New Roman" w:cs="Times New Roman"/>
                <w:sz w:val="24"/>
                <w:szCs w:val="24"/>
              </w:rPr>
              <w:t>41.</w:t>
            </w:r>
            <w:r w:rsidR="00B5315A" w:rsidRPr="00B5315A">
              <w:rPr>
                <w:rFonts w:ascii="Times New Roman" w:hAnsi="Times New Roman" w:cs="Times New Roman"/>
                <w:sz w:val="24"/>
                <w:szCs w:val="24"/>
                <w:vertAlign w:val="superscript"/>
              </w:rPr>
              <w:t>1</w:t>
            </w:r>
            <w:r w:rsidR="00B5315A">
              <w:rPr>
                <w:rFonts w:ascii="Times New Roman" w:hAnsi="Times New Roman" w:cs="Times New Roman"/>
                <w:sz w:val="24"/>
                <w:szCs w:val="24"/>
              </w:rPr>
              <w:t xml:space="preserve"> panta pirmajai daļai </w:t>
            </w:r>
            <w:r w:rsidR="00666E23">
              <w:rPr>
                <w:rFonts w:ascii="Times New Roman" w:hAnsi="Times New Roman" w:cs="Times New Roman"/>
                <w:sz w:val="24"/>
                <w:szCs w:val="24"/>
              </w:rPr>
              <w:t xml:space="preserve">administrē </w:t>
            </w:r>
            <w:r w:rsidR="00B5315A" w:rsidRPr="00B5315A">
              <w:rPr>
                <w:rFonts w:ascii="Times New Roman" w:hAnsi="Times New Roman" w:cs="Times New Roman"/>
                <w:sz w:val="24"/>
                <w:szCs w:val="24"/>
              </w:rPr>
              <w:t>arī</w:t>
            </w:r>
            <w:r w:rsidR="00B5315A">
              <w:rPr>
                <w:rFonts w:ascii="Times New Roman" w:hAnsi="Times New Roman" w:cs="Times New Roman"/>
                <w:sz w:val="24"/>
                <w:szCs w:val="24"/>
              </w:rPr>
              <w:t xml:space="preserve"> </w:t>
            </w:r>
            <w:r w:rsidR="00666E23">
              <w:rPr>
                <w:rFonts w:ascii="Times New Roman" w:hAnsi="Times New Roman" w:cs="Times New Roman"/>
                <w:sz w:val="24"/>
                <w:szCs w:val="24"/>
              </w:rPr>
              <w:t>speciālās militārās tehnikas nodarītos zaudējumus.</w:t>
            </w:r>
            <w:r w:rsidRPr="003A01DF">
              <w:rPr>
                <w:rFonts w:ascii="Times New Roman" w:hAnsi="Times New Roman" w:cs="Times New Roman"/>
                <w:sz w:val="24"/>
                <w:szCs w:val="24"/>
              </w:rPr>
              <w:t xml:space="preserve">   </w:t>
            </w:r>
          </w:p>
        </w:tc>
      </w:tr>
      <w:tr w:rsidR="0001268A" w:rsidRPr="003A01DF" w14:paraId="5BF53D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C09C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6F386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B5E15" w14:textId="1A444385" w:rsidR="00E5323B" w:rsidRPr="003A01DF" w:rsidRDefault="00666E23" w:rsidP="00B71CCC">
            <w:pPr>
              <w:pStyle w:val="CM4"/>
              <w:spacing w:before="60" w:after="60"/>
              <w:jc w:val="both"/>
              <w:rPr>
                <w:rFonts w:ascii="Times New Roman" w:eastAsia="Times New Roman" w:hAnsi="Times New Roman" w:cs="Times New Roman"/>
                <w:iCs/>
                <w:lang w:eastAsia="lv-LV"/>
              </w:rPr>
            </w:pPr>
            <w:r w:rsidRPr="000F1876">
              <w:rPr>
                <w:rFonts w:ascii="Times New Roman" w:eastAsia="Times New Roman" w:hAnsi="Times New Roman" w:cs="Times New Roman"/>
                <w:iCs/>
                <w:lang w:eastAsia="lv-LV"/>
              </w:rPr>
              <w:t>Likumprojekts stāsies spēkā atbilstoši Oficiālo</w:t>
            </w:r>
            <w:r w:rsidRPr="00DB2082">
              <w:rPr>
                <w:rFonts w:ascii="Times New Roman" w:eastAsia="Times New Roman" w:hAnsi="Times New Roman" w:cs="Times New Roman"/>
                <w:iCs/>
                <w:lang w:eastAsia="lv-LV"/>
              </w:rPr>
              <w:t xml:space="preserve"> publikāciju un tiesiskās informācijas likuma 4. pantam.</w:t>
            </w:r>
          </w:p>
        </w:tc>
      </w:tr>
    </w:tbl>
    <w:p w14:paraId="6A4314E1"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4888F7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84ED1B"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268A" w:rsidRPr="003A01DF" w14:paraId="53346F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863BF"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3767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67D6264" w14:textId="3F41E36E" w:rsidR="00E5323B" w:rsidRPr="003A01DF" w:rsidRDefault="00F25AE9" w:rsidP="006C546C">
            <w:pPr>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Likumprojekts </w:t>
            </w:r>
            <w:r w:rsidR="00881198" w:rsidRPr="003A01DF">
              <w:rPr>
                <w:rFonts w:ascii="Times New Roman" w:eastAsia="Times New Roman" w:hAnsi="Times New Roman" w:cs="Times New Roman"/>
                <w:iCs/>
                <w:sz w:val="24"/>
                <w:szCs w:val="24"/>
                <w:lang w:eastAsia="lv-LV"/>
              </w:rPr>
              <w:t xml:space="preserve">skars </w:t>
            </w:r>
            <w:r w:rsidR="006069A6" w:rsidRPr="003A01DF">
              <w:rPr>
                <w:rFonts w:ascii="Times New Roman" w:eastAsia="Times New Roman" w:hAnsi="Times New Roman" w:cs="Times New Roman"/>
                <w:iCs/>
                <w:sz w:val="24"/>
                <w:szCs w:val="24"/>
                <w:lang w:eastAsia="lv-LV"/>
              </w:rPr>
              <w:t>tās personas, k</w:t>
            </w:r>
            <w:r w:rsidR="006C546C">
              <w:rPr>
                <w:rFonts w:ascii="Times New Roman" w:eastAsia="Times New Roman" w:hAnsi="Times New Roman" w:cs="Times New Roman"/>
                <w:iCs/>
                <w:sz w:val="24"/>
                <w:szCs w:val="24"/>
                <w:lang w:eastAsia="lv-LV"/>
              </w:rPr>
              <w:t>uras</w:t>
            </w:r>
            <w:r w:rsidR="006069A6" w:rsidRPr="003A01DF">
              <w:rPr>
                <w:rFonts w:ascii="Times New Roman" w:eastAsia="Times New Roman" w:hAnsi="Times New Roman" w:cs="Times New Roman"/>
                <w:iCs/>
                <w:sz w:val="24"/>
                <w:szCs w:val="24"/>
                <w:lang w:eastAsia="lv-LV"/>
              </w:rPr>
              <w:t xml:space="preserve"> būs cietušie </w:t>
            </w:r>
            <w:r w:rsidR="006C546C">
              <w:rPr>
                <w:rFonts w:ascii="Times New Roman" w:eastAsia="Times New Roman" w:hAnsi="Times New Roman" w:cs="Times New Roman"/>
                <w:iCs/>
                <w:sz w:val="24"/>
                <w:szCs w:val="24"/>
                <w:lang w:eastAsia="lv-LV"/>
              </w:rPr>
              <w:t xml:space="preserve">ceļu satiksmes </w:t>
            </w:r>
            <w:r w:rsidR="006069A6" w:rsidRPr="003A01DF">
              <w:rPr>
                <w:rFonts w:ascii="Times New Roman" w:eastAsia="Times New Roman" w:hAnsi="Times New Roman" w:cs="Times New Roman"/>
                <w:iCs/>
                <w:sz w:val="24"/>
                <w:szCs w:val="24"/>
                <w:lang w:eastAsia="lv-LV"/>
              </w:rPr>
              <w:t xml:space="preserve">negadījumā, kuru izraisīs speciālā militārā tehnika </w:t>
            </w:r>
            <w:r w:rsidR="00666E23">
              <w:rPr>
                <w:rFonts w:ascii="Times New Roman" w:eastAsia="Times New Roman" w:hAnsi="Times New Roman" w:cs="Times New Roman"/>
                <w:iCs/>
                <w:sz w:val="24"/>
                <w:szCs w:val="24"/>
                <w:lang w:eastAsia="lv-LV"/>
              </w:rPr>
              <w:t xml:space="preserve">savienojumā ar speciālās militārās tehnikas piekabi vai speciālās militārās tehnikas piekabe </w:t>
            </w:r>
            <w:r w:rsidR="00C87670" w:rsidRPr="003A01DF">
              <w:rPr>
                <w:rFonts w:ascii="Times New Roman" w:eastAsia="Times New Roman" w:hAnsi="Times New Roman" w:cs="Times New Roman"/>
                <w:iCs/>
                <w:sz w:val="24"/>
                <w:szCs w:val="24"/>
                <w:lang w:eastAsia="lv-LV"/>
              </w:rPr>
              <w:t>Eiropas Ekonomik</w:t>
            </w:r>
            <w:r w:rsidR="00881198" w:rsidRPr="003A01DF">
              <w:rPr>
                <w:rFonts w:ascii="Times New Roman" w:eastAsia="Times New Roman" w:hAnsi="Times New Roman" w:cs="Times New Roman"/>
                <w:iCs/>
                <w:sz w:val="24"/>
                <w:szCs w:val="24"/>
                <w:lang w:eastAsia="lv-LV"/>
              </w:rPr>
              <w:t>a</w:t>
            </w:r>
            <w:r w:rsidR="00C87670" w:rsidRPr="003A01DF">
              <w:rPr>
                <w:rFonts w:ascii="Times New Roman" w:eastAsia="Times New Roman" w:hAnsi="Times New Roman" w:cs="Times New Roman"/>
                <w:iCs/>
                <w:sz w:val="24"/>
                <w:szCs w:val="24"/>
                <w:lang w:eastAsia="lv-LV"/>
              </w:rPr>
              <w:t>s zonas valstīs (tostarp Latvijā)</w:t>
            </w:r>
            <w:r w:rsidR="00A663C2">
              <w:rPr>
                <w:rFonts w:ascii="Times New Roman" w:eastAsia="Times New Roman" w:hAnsi="Times New Roman" w:cs="Times New Roman"/>
                <w:iCs/>
                <w:sz w:val="24"/>
                <w:szCs w:val="24"/>
                <w:lang w:eastAsia="lv-LV"/>
              </w:rPr>
              <w:t xml:space="preserve"> vai ārpus tām</w:t>
            </w:r>
            <w:r w:rsidR="00C87670" w:rsidRPr="003A01DF">
              <w:rPr>
                <w:rFonts w:ascii="Times New Roman" w:eastAsia="Times New Roman" w:hAnsi="Times New Roman" w:cs="Times New Roman"/>
                <w:iCs/>
                <w:sz w:val="24"/>
                <w:szCs w:val="24"/>
                <w:lang w:eastAsia="lv-LV"/>
              </w:rPr>
              <w:t>, Šveices Konfederācijā</w:t>
            </w:r>
            <w:r w:rsidR="00A663C2">
              <w:rPr>
                <w:rFonts w:ascii="Times New Roman" w:eastAsia="Times New Roman" w:hAnsi="Times New Roman" w:cs="Times New Roman"/>
                <w:iCs/>
                <w:sz w:val="24"/>
                <w:szCs w:val="24"/>
                <w:lang w:eastAsia="lv-LV"/>
              </w:rPr>
              <w:t xml:space="preserve"> vai ārpus tās</w:t>
            </w:r>
            <w:r w:rsidR="00C87670" w:rsidRPr="003A01DF">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 xml:space="preserve"> Likumprojekts neietekmēs cietušā tiesības saņemt zaudējumu</w:t>
            </w:r>
            <w:r w:rsidR="00FC39B3" w:rsidRPr="003A01DF">
              <w:rPr>
                <w:rFonts w:ascii="Times New Roman" w:eastAsia="Times New Roman" w:hAnsi="Times New Roman" w:cs="Times New Roman"/>
                <w:iCs/>
                <w:sz w:val="24"/>
                <w:szCs w:val="24"/>
                <w:lang w:eastAsia="lv-LV"/>
              </w:rPr>
              <w:t xml:space="preserve"> kompensāciju. </w:t>
            </w:r>
            <w:r w:rsidR="00881198" w:rsidRPr="003A01DF">
              <w:rPr>
                <w:rFonts w:ascii="Times New Roman" w:eastAsia="Times New Roman" w:hAnsi="Times New Roman" w:cs="Times New Roman"/>
                <w:iCs/>
                <w:sz w:val="24"/>
                <w:szCs w:val="24"/>
                <w:lang w:eastAsia="lv-LV"/>
              </w:rPr>
              <w:t xml:space="preserve">Tā tiks veikta, ievērojot Latvijas un OCTA jomu regulējošo starptautisko regulējumu, bet ar nosacījumu, ka Aizsardzības ministrija ir gala atbildētājs (maksātājs), ja zaudējumus </w:t>
            </w:r>
            <w:r w:rsidR="00666E23">
              <w:rPr>
                <w:rFonts w:ascii="Times New Roman" w:eastAsia="Times New Roman" w:hAnsi="Times New Roman" w:cs="Times New Roman"/>
                <w:iCs/>
                <w:sz w:val="24"/>
                <w:szCs w:val="24"/>
                <w:lang w:eastAsia="lv-LV"/>
              </w:rPr>
              <w:t>būs</w:t>
            </w:r>
            <w:r w:rsidR="00881198" w:rsidRPr="003A01DF">
              <w:rPr>
                <w:rFonts w:ascii="Times New Roman" w:eastAsia="Times New Roman" w:hAnsi="Times New Roman" w:cs="Times New Roman"/>
                <w:iCs/>
                <w:sz w:val="24"/>
                <w:szCs w:val="24"/>
                <w:lang w:eastAsia="lv-LV"/>
              </w:rPr>
              <w:t xml:space="preserve"> </w:t>
            </w:r>
            <w:r w:rsidR="00881198" w:rsidRPr="006C546C">
              <w:rPr>
                <w:rFonts w:ascii="Times New Roman" w:eastAsia="Times New Roman" w:hAnsi="Times New Roman" w:cs="Times New Roman"/>
                <w:iCs/>
                <w:sz w:val="24"/>
                <w:szCs w:val="24"/>
                <w:lang w:eastAsia="lv-LV"/>
              </w:rPr>
              <w:t>nodarījusi speciālā militārā tehnika</w:t>
            </w:r>
            <w:r w:rsidR="00666E23" w:rsidRPr="006C546C">
              <w:rPr>
                <w:rFonts w:ascii="Times New Roman" w:eastAsia="Times New Roman" w:hAnsi="Times New Roman" w:cs="Times New Roman"/>
                <w:iCs/>
                <w:sz w:val="24"/>
                <w:szCs w:val="24"/>
                <w:lang w:eastAsia="lv-LV"/>
              </w:rPr>
              <w:t xml:space="preserve"> savienojumā ar speciālās militāras tehnikas piekabi vai speciālās militārās tehnikas piekabe</w:t>
            </w:r>
            <w:r w:rsidR="00881198" w:rsidRPr="006C546C">
              <w:rPr>
                <w:rFonts w:ascii="Times New Roman" w:eastAsia="Times New Roman" w:hAnsi="Times New Roman" w:cs="Times New Roman"/>
                <w:iCs/>
                <w:sz w:val="24"/>
                <w:szCs w:val="24"/>
                <w:lang w:eastAsia="lv-LV"/>
              </w:rPr>
              <w:t>.</w:t>
            </w:r>
          </w:p>
        </w:tc>
      </w:tr>
      <w:tr w:rsidR="0001268A" w:rsidRPr="003A01DF" w14:paraId="22602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EB41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EE24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7C2339" w14:textId="5EACF2F0" w:rsidR="00BB0B97" w:rsidRPr="003A01DF" w:rsidRDefault="00B0375D" w:rsidP="002C099B">
            <w:pPr>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LTAB</w:t>
            </w:r>
            <w:r w:rsidR="00F25AE9" w:rsidRPr="003A01DF">
              <w:rPr>
                <w:rFonts w:ascii="Times New Roman" w:eastAsia="Times New Roman" w:hAnsi="Times New Roman" w:cs="Times New Roman"/>
                <w:iCs/>
                <w:sz w:val="24"/>
                <w:szCs w:val="24"/>
                <w:lang w:eastAsia="lv-LV"/>
              </w:rPr>
              <w:t xml:space="preserve"> </w:t>
            </w:r>
            <w:r w:rsidR="006069A6" w:rsidRPr="003A01DF">
              <w:rPr>
                <w:rFonts w:ascii="Times New Roman" w:eastAsia="Times New Roman" w:hAnsi="Times New Roman" w:cs="Times New Roman"/>
                <w:iCs/>
                <w:sz w:val="24"/>
                <w:szCs w:val="24"/>
                <w:lang w:eastAsia="lv-LV"/>
              </w:rPr>
              <w:t xml:space="preserve">un Aizsardzības ministrijai </w:t>
            </w:r>
            <w:r w:rsidR="004F7FCB" w:rsidRPr="003A01DF">
              <w:rPr>
                <w:rFonts w:ascii="Times New Roman" w:hAnsi="Times New Roman" w:cs="Times New Roman"/>
                <w:sz w:val="24"/>
                <w:szCs w:val="24"/>
              </w:rPr>
              <w:t>administratīvais slogs tiek palielināts</w:t>
            </w:r>
            <w:r w:rsidR="00F25AE9" w:rsidRPr="003A01DF">
              <w:rPr>
                <w:rFonts w:ascii="Times New Roman" w:eastAsia="Times New Roman" w:hAnsi="Times New Roman" w:cs="Times New Roman"/>
                <w:iCs/>
                <w:sz w:val="24"/>
                <w:szCs w:val="24"/>
                <w:lang w:eastAsia="lv-LV"/>
              </w:rPr>
              <w:t>, bet tā apjomu</w:t>
            </w:r>
            <w:r w:rsidRPr="003A01DF">
              <w:rPr>
                <w:rFonts w:ascii="Times New Roman" w:eastAsia="Times New Roman" w:hAnsi="Times New Roman" w:cs="Times New Roman"/>
                <w:iCs/>
                <w:sz w:val="24"/>
                <w:szCs w:val="24"/>
                <w:lang w:eastAsia="lv-LV"/>
              </w:rPr>
              <w:t xml:space="preserve"> </w:t>
            </w:r>
            <w:r w:rsidR="00F25AE9" w:rsidRPr="003A01DF">
              <w:rPr>
                <w:rFonts w:ascii="Times New Roman" w:eastAsia="Times New Roman" w:hAnsi="Times New Roman" w:cs="Times New Roman"/>
                <w:iCs/>
                <w:sz w:val="24"/>
                <w:szCs w:val="24"/>
                <w:lang w:eastAsia="lv-LV"/>
              </w:rPr>
              <w:t>nav iespējams prognozēt</w:t>
            </w:r>
            <w:r w:rsidRPr="003A01DF">
              <w:rPr>
                <w:rFonts w:ascii="Times New Roman" w:eastAsia="Times New Roman" w:hAnsi="Times New Roman" w:cs="Times New Roman"/>
                <w:iCs/>
                <w:sz w:val="24"/>
                <w:szCs w:val="24"/>
                <w:lang w:eastAsia="lv-LV"/>
              </w:rPr>
              <w:t xml:space="preserve">, jo tas būs atkarīgs no speciālās militārās tehnikas </w:t>
            </w:r>
            <w:r w:rsidR="00B5315A">
              <w:rPr>
                <w:rFonts w:ascii="Times New Roman" w:eastAsia="Times New Roman" w:hAnsi="Times New Roman" w:cs="Times New Roman"/>
                <w:iCs/>
                <w:sz w:val="24"/>
                <w:szCs w:val="24"/>
                <w:lang w:eastAsia="lv-LV"/>
              </w:rPr>
              <w:t xml:space="preserve">piekabju </w:t>
            </w:r>
            <w:r w:rsidRPr="003A01DF">
              <w:rPr>
                <w:rFonts w:ascii="Times New Roman" w:eastAsia="Times New Roman" w:hAnsi="Times New Roman" w:cs="Times New Roman"/>
                <w:iCs/>
                <w:sz w:val="24"/>
                <w:szCs w:val="24"/>
                <w:lang w:eastAsia="lv-LV"/>
              </w:rPr>
              <w:t>iesaistes</w:t>
            </w:r>
            <w:r w:rsidR="006C546C">
              <w:rPr>
                <w:rFonts w:ascii="Times New Roman" w:eastAsia="Times New Roman" w:hAnsi="Times New Roman" w:cs="Times New Roman"/>
                <w:iCs/>
                <w:sz w:val="24"/>
                <w:szCs w:val="24"/>
                <w:lang w:eastAsia="lv-LV"/>
              </w:rPr>
              <w:t xml:space="preserve"> ceļu satiksmes</w:t>
            </w:r>
            <w:r w:rsidRPr="003A01DF">
              <w:rPr>
                <w:rFonts w:ascii="Times New Roman" w:eastAsia="Times New Roman" w:hAnsi="Times New Roman" w:cs="Times New Roman"/>
                <w:iCs/>
                <w:sz w:val="24"/>
                <w:szCs w:val="24"/>
                <w:lang w:eastAsia="lv-LV"/>
              </w:rPr>
              <w:t xml:space="preserve"> </w:t>
            </w:r>
            <w:r w:rsidR="006069A6" w:rsidRPr="003A01DF">
              <w:rPr>
                <w:rFonts w:ascii="Times New Roman" w:eastAsia="Times New Roman" w:hAnsi="Times New Roman" w:cs="Times New Roman"/>
                <w:iCs/>
                <w:sz w:val="24"/>
                <w:szCs w:val="24"/>
                <w:lang w:eastAsia="lv-LV"/>
              </w:rPr>
              <w:t>negadījum</w:t>
            </w:r>
            <w:r w:rsidR="002C099B" w:rsidRPr="003A01DF">
              <w:rPr>
                <w:rFonts w:ascii="Times New Roman" w:eastAsia="Times New Roman" w:hAnsi="Times New Roman" w:cs="Times New Roman"/>
                <w:iCs/>
                <w:sz w:val="24"/>
                <w:szCs w:val="24"/>
                <w:lang w:eastAsia="lv-LV"/>
              </w:rPr>
              <w:t>os</w:t>
            </w:r>
            <w:r w:rsidR="006069A6" w:rsidRPr="003A01DF">
              <w:rPr>
                <w:rFonts w:ascii="Times New Roman" w:eastAsia="Times New Roman" w:hAnsi="Times New Roman" w:cs="Times New Roman"/>
                <w:iCs/>
                <w:sz w:val="24"/>
                <w:szCs w:val="24"/>
                <w:lang w:eastAsia="lv-LV"/>
              </w:rPr>
              <w:t>, kur</w:t>
            </w:r>
            <w:r w:rsidR="002C099B" w:rsidRPr="003A01DF">
              <w:rPr>
                <w:rFonts w:ascii="Times New Roman" w:eastAsia="Times New Roman" w:hAnsi="Times New Roman" w:cs="Times New Roman"/>
                <w:iCs/>
                <w:sz w:val="24"/>
                <w:szCs w:val="24"/>
                <w:lang w:eastAsia="lv-LV"/>
              </w:rPr>
              <w:t>u</w:t>
            </w:r>
            <w:r w:rsidR="006069A6" w:rsidRPr="003A01DF">
              <w:rPr>
                <w:rFonts w:ascii="Times New Roman" w:eastAsia="Times New Roman" w:hAnsi="Times New Roman" w:cs="Times New Roman"/>
                <w:iCs/>
                <w:sz w:val="24"/>
                <w:szCs w:val="24"/>
                <w:lang w:eastAsia="lv-LV"/>
              </w:rPr>
              <w:t xml:space="preserve"> izraisīšanā tā būs v</w:t>
            </w:r>
            <w:r w:rsidR="002C099B" w:rsidRPr="003A01DF">
              <w:rPr>
                <w:rFonts w:ascii="Times New Roman" w:eastAsia="Times New Roman" w:hAnsi="Times New Roman" w:cs="Times New Roman"/>
                <w:iCs/>
                <w:sz w:val="24"/>
                <w:szCs w:val="24"/>
                <w:lang w:eastAsia="lv-LV"/>
              </w:rPr>
              <w:t>ainojama</w:t>
            </w:r>
            <w:r w:rsidR="00F25AE9" w:rsidRPr="003A01DF">
              <w:rPr>
                <w:rFonts w:ascii="Times New Roman" w:eastAsia="Times New Roman" w:hAnsi="Times New Roman" w:cs="Times New Roman"/>
                <w:iCs/>
                <w:sz w:val="24"/>
                <w:szCs w:val="24"/>
                <w:lang w:eastAsia="lv-LV"/>
              </w:rPr>
              <w:t>.</w:t>
            </w:r>
            <w:r w:rsidR="004F7FCB" w:rsidRPr="003A01DF">
              <w:rPr>
                <w:rFonts w:ascii="Times New Roman" w:eastAsia="Times New Roman" w:hAnsi="Times New Roman" w:cs="Times New Roman"/>
                <w:iCs/>
                <w:sz w:val="24"/>
                <w:szCs w:val="24"/>
                <w:lang w:eastAsia="lv-LV"/>
              </w:rPr>
              <w:t xml:space="preserve"> </w:t>
            </w:r>
          </w:p>
        </w:tc>
      </w:tr>
      <w:tr w:rsidR="0001268A" w:rsidRPr="003A01DF" w14:paraId="226F3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1BCF60"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EF6B8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FC9866" w14:textId="2D6046ED"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1D829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4D6D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F2077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1422AA" w14:textId="7DB81C67"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564F5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FFCB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42F29D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64CE6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3D2B540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058"/>
        <w:gridCol w:w="1240"/>
        <w:gridCol w:w="1067"/>
        <w:gridCol w:w="1067"/>
        <w:gridCol w:w="1067"/>
        <w:gridCol w:w="1067"/>
        <w:gridCol w:w="1364"/>
        <w:gridCol w:w="65"/>
      </w:tblGrid>
      <w:tr w:rsidR="0001268A" w:rsidRPr="003A01DF" w14:paraId="377625A4" w14:textId="77777777"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243A0A1"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III. Tiesību akta projekta ietekme uz valsts budžetu un pašvaldību budžetiem</w:t>
            </w:r>
          </w:p>
        </w:tc>
      </w:tr>
      <w:tr w:rsidR="0001268A" w:rsidRPr="003A01DF" w14:paraId="29B6A1FF" w14:textId="77777777" w:rsidTr="00B27ED2">
        <w:trPr>
          <w:tblCellSpacing w:w="15" w:type="dxa"/>
        </w:trPr>
        <w:tc>
          <w:tcPr>
            <w:tcW w:w="823" w:type="pct"/>
            <w:vMerge w:val="restart"/>
            <w:tcBorders>
              <w:top w:val="outset" w:sz="6" w:space="0" w:color="auto"/>
              <w:left w:val="outset" w:sz="6" w:space="0" w:color="auto"/>
              <w:bottom w:val="outset" w:sz="6" w:space="0" w:color="auto"/>
              <w:right w:val="outset" w:sz="6" w:space="0" w:color="auto"/>
            </w:tcBorders>
            <w:vAlign w:val="center"/>
            <w:hideMark/>
          </w:tcPr>
          <w:p w14:paraId="4A8EE6A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Rādītāji</w:t>
            </w:r>
          </w:p>
        </w:tc>
        <w:tc>
          <w:tcPr>
            <w:tcW w:w="120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33B251" w14:textId="26677633" w:rsidR="00655F2C" w:rsidRPr="003A01DF" w:rsidRDefault="007763C4" w:rsidP="00666E23">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20</w:t>
            </w:r>
            <w:r w:rsidR="00666E23">
              <w:rPr>
                <w:rFonts w:ascii="Times New Roman" w:eastAsia="Times New Roman" w:hAnsi="Times New Roman" w:cs="Times New Roman"/>
                <w:iCs/>
                <w:sz w:val="24"/>
                <w:szCs w:val="24"/>
                <w:lang w:eastAsia="lv-LV"/>
              </w:rPr>
              <w:t>21</w:t>
            </w:r>
            <w:r w:rsidRPr="003A01DF">
              <w:rPr>
                <w:rFonts w:ascii="Times New Roman" w:eastAsia="Times New Roman" w:hAnsi="Times New Roman" w:cs="Times New Roman"/>
                <w:iCs/>
                <w:sz w:val="24"/>
                <w:szCs w:val="24"/>
                <w:lang w:eastAsia="lv-LV"/>
              </w:rPr>
              <w:t>.</w:t>
            </w:r>
            <w:r w:rsidR="00666E23">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gads</w:t>
            </w:r>
          </w:p>
        </w:tc>
        <w:tc>
          <w:tcPr>
            <w:tcW w:w="2909" w:type="pct"/>
            <w:gridSpan w:val="6"/>
            <w:tcBorders>
              <w:top w:val="outset" w:sz="6" w:space="0" w:color="auto"/>
              <w:left w:val="outset" w:sz="6" w:space="0" w:color="auto"/>
              <w:bottom w:val="outset" w:sz="6" w:space="0" w:color="auto"/>
              <w:right w:val="outset" w:sz="6" w:space="0" w:color="auto"/>
            </w:tcBorders>
            <w:vAlign w:val="center"/>
            <w:hideMark/>
          </w:tcPr>
          <w:p w14:paraId="454CADDC" w14:textId="77777777" w:rsidR="00655F2C" w:rsidRPr="003A01DF" w:rsidRDefault="00E5323B" w:rsidP="007763C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Turpmākie trīs gadi (</w:t>
            </w:r>
            <w:r w:rsidRPr="003A01DF">
              <w:rPr>
                <w:rFonts w:ascii="Times New Roman" w:eastAsia="Times New Roman" w:hAnsi="Times New Roman" w:cs="Times New Roman"/>
                <w:i/>
                <w:iCs/>
                <w:sz w:val="24"/>
                <w:szCs w:val="24"/>
                <w:lang w:eastAsia="lv-LV"/>
              </w:rPr>
              <w:t>euro</w:t>
            </w:r>
            <w:r w:rsidRPr="003A01DF">
              <w:rPr>
                <w:rFonts w:ascii="Times New Roman" w:eastAsia="Times New Roman" w:hAnsi="Times New Roman" w:cs="Times New Roman"/>
                <w:iCs/>
                <w:sz w:val="24"/>
                <w:szCs w:val="24"/>
                <w:lang w:eastAsia="lv-LV"/>
              </w:rPr>
              <w:t>)</w:t>
            </w:r>
          </w:p>
        </w:tc>
      </w:tr>
      <w:tr w:rsidR="0001268A" w:rsidRPr="003A01DF" w14:paraId="043B5339" w14:textId="77777777" w:rsidTr="00B27ED2">
        <w:trPr>
          <w:tblCellSpacing w:w="15" w:type="dxa"/>
        </w:trPr>
        <w:tc>
          <w:tcPr>
            <w:tcW w:w="823" w:type="pct"/>
            <w:vMerge/>
            <w:tcBorders>
              <w:top w:val="outset" w:sz="6" w:space="0" w:color="auto"/>
              <w:left w:val="outset" w:sz="6" w:space="0" w:color="auto"/>
              <w:bottom w:val="outset" w:sz="6" w:space="0" w:color="auto"/>
              <w:right w:val="outset" w:sz="6" w:space="0" w:color="auto"/>
            </w:tcBorders>
            <w:vAlign w:val="center"/>
            <w:hideMark/>
          </w:tcPr>
          <w:p w14:paraId="5E717BA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1206" w:type="pct"/>
            <w:gridSpan w:val="2"/>
            <w:vMerge/>
            <w:tcBorders>
              <w:top w:val="outset" w:sz="6" w:space="0" w:color="auto"/>
              <w:left w:val="outset" w:sz="6" w:space="0" w:color="auto"/>
              <w:bottom w:val="outset" w:sz="6" w:space="0" w:color="auto"/>
              <w:right w:val="outset" w:sz="6" w:space="0" w:color="auto"/>
            </w:tcBorders>
            <w:vAlign w:val="center"/>
            <w:hideMark/>
          </w:tcPr>
          <w:p w14:paraId="42A131C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1093" w:type="pct"/>
            <w:gridSpan w:val="2"/>
            <w:tcBorders>
              <w:top w:val="outset" w:sz="6" w:space="0" w:color="auto"/>
              <w:left w:val="outset" w:sz="6" w:space="0" w:color="auto"/>
              <w:bottom w:val="outset" w:sz="6" w:space="0" w:color="auto"/>
              <w:right w:val="outset" w:sz="6" w:space="0" w:color="auto"/>
            </w:tcBorders>
            <w:vAlign w:val="center"/>
            <w:hideMark/>
          </w:tcPr>
          <w:p w14:paraId="3CFF41B0" w14:textId="3E0820E2" w:rsidR="00655F2C" w:rsidRPr="003A01DF" w:rsidRDefault="007763C4" w:rsidP="00666E23">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202</w:t>
            </w:r>
            <w:r w:rsidR="00666E23">
              <w:rPr>
                <w:rFonts w:ascii="Times New Roman" w:eastAsia="Times New Roman" w:hAnsi="Times New Roman" w:cs="Times New Roman"/>
                <w:iCs/>
                <w:sz w:val="24"/>
                <w:szCs w:val="24"/>
                <w:lang w:eastAsia="lv-LV"/>
              </w:rPr>
              <w:t>2</w:t>
            </w:r>
            <w:r w:rsidRPr="003A01DF">
              <w:rPr>
                <w:rFonts w:ascii="Times New Roman" w:eastAsia="Times New Roman" w:hAnsi="Times New Roman" w:cs="Times New Roman"/>
                <w:iCs/>
                <w:sz w:val="24"/>
                <w:szCs w:val="24"/>
                <w:lang w:eastAsia="lv-LV"/>
              </w:rPr>
              <w:t>.</w:t>
            </w:r>
            <w:r w:rsidR="00666E23">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gads</w:t>
            </w:r>
          </w:p>
        </w:tc>
        <w:tc>
          <w:tcPr>
            <w:tcW w:w="1093" w:type="pct"/>
            <w:gridSpan w:val="2"/>
            <w:tcBorders>
              <w:top w:val="outset" w:sz="6" w:space="0" w:color="auto"/>
              <w:left w:val="outset" w:sz="6" w:space="0" w:color="auto"/>
              <w:bottom w:val="outset" w:sz="6" w:space="0" w:color="auto"/>
              <w:right w:val="outset" w:sz="6" w:space="0" w:color="auto"/>
            </w:tcBorders>
            <w:vAlign w:val="center"/>
            <w:hideMark/>
          </w:tcPr>
          <w:p w14:paraId="2787BEBA" w14:textId="321EADAF" w:rsidR="00655F2C" w:rsidRPr="003A01DF" w:rsidRDefault="007763C4" w:rsidP="00666E23">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202</w:t>
            </w:r>
            <w:r w:rsidR="00666E23">
              <w:rPr>
                <w:rFonts w:ascii="Times New Roman" w:eastAsia="Times New Roman" w:hAnsi="Times New Roman" w:cs="Times New Roman"/>
                <w:iCs/>
                <w:sz w:val="24"/>
                <w:szCs w:val="24"/>
                <w:lang w:eastAsia="lv-LV"/>
              </w:rPr>
              <w:t>3</w:t>
            </w:r>
            <w:r w:rsidRPr="003A01DF">
              <w:rPr>
                <w:rFonts w:ascii="Times New Roman" w:eastAsia="Times New Roman" w:hAnsi="Times New Roman" w:cs="Times New Roman"/>
                <w:iCs/>
                <w:sz w:val="24"/>
                <w:szCs w:val="24"/>
                <w:lang w:eastAsia="lv-LV"/>
              </w:rPr>
              <w:t>.</w:t>
            </w:r>
            <w:r w:rsidR="00666E23">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gads</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1DACAB7B" w14:textId="1454F0BB" w:rsidR="00655F2C" w:rsidRPr="003A01DF" w:rsidRDefault="007763C4" w:rsidP="00666E23">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202</w:t>
            </w:r>
            <w:r w:rsidR="00666E23">
              <w:rPr>
                <w:rFonts w:ascii="Times New Roman" w:eastAsia="Times New Roman" w:hAnsi="Times New Roman" w:cs="Times New Roman"/>
                <w:iCs/>
                <w:sz w:val="24"/>
                <w:szCs w:val="24"/>
                <w:lang w:eastAsia="lv-LV"/>
              </w:rPr>
              <w:t>4</w:t>
            </w:r>
            <w:r w:rsidRPr="003A01DF">
              <w:rPr>
                <w:rFonts w:ascii="Times New Roman" w:eastAsia="Times New Roman" w:hAnsi="Times New Roman" w:cs="Times New Roman"/>
                <w:iCs/>
                <w:sz w:val="24"/>
                <w:szCs w:val="24"/>
                <w:lang w:eastAsia="lv-LV"/>
              </w:rPr>
              <w:t>.</w:t>
            </w:r>
            <w:r w:rsidR="00666E23">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gads</w:t>
            </w:r>
          </w:p>
        </w:tc>
      </w:tr>
      <w:tr w:rsidR="0001268A" w:rsidRPr="003A01DF" w14:paraId="7F972B50" w14:textId="77777777" w:rsidTr="00B27ED2">
        <w:trPr>
          <w:tblCellSpacing w:w="15" w:type="dxa"/>
        </w:trPr>
        <w:tc>
          <w:tcPr>
            <w:tcW w:w="823" w:type="pct"/>
            <w:vMerge/>
            <w:tcBorders>
              <w:top w:val="outset" w:sz="6" w:space="0" w:color="auto"/>
              <w:left w:val="outset" w:sz="6" w:space="0" w:color="auto"/>
              <w:bottom w:val="outset" w:sz="6" w:space="0" w:color="auto"/>
              <w:right w:val="outset" w:sz="6" w:space="0" w:color="auto"/>
            </w:tcBorders>
            <w:vAlign w:val="center"/>
            <w:hideMark/>
          </w:tcPr>
          <w:p w14:paraId="72F4546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56AAB8"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saskaņā ar valsts budžetu kārtējam gadam</w:t>
            </w:r>
          </w:p>
        </w:tc>
        <w:tc>
          <w:tcPr>
            <w:tcW w:w="636" w:type="pct"/>
            <w:tcBorders>
              <w:top w:val="outset" w:sz="6" w:space="0" w:color="auto"/>
              <w:left w:val="outset" w:sz="6" w:space="0" w:color="auto"/>
              <w:bottom w:val="outset" w:sz="6" w:space="0" w:color="auto"/>
              <w:right w:val="outset" w:sz="6" w:space="0" w:color="auto"/>
            </w:tcBorders>
            <w:vAlign w:val="center"/>
            <w:hideMark/>
          </w:tcPr>
          <w:p w14:paraId="71E00A6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izmaiņas kārtējā gadā, salīdzinot ar valsts budžetu kārtējam gadam</w:t>
            </w:r>
          </w:p>
        </w:tc>
        <w:tc>
          <w:tcPr>
            <w:tcW w:w="539" w:type="pct"/>
            <w:tcBorders>
              <w:top w:val="outset" w:sz="6" w:space="0" w:color="auto"/>
              <w:left w:val="outset" w:sz="6" w:space="0" w:color="auto"/>
              <w:bottom w:val="outset" w:sz="6" w:space="0" w:color="auto"/>
              <w:right w:val="outset" w:sz="6" w:space="0" w:color="auto"/>
            </w:tcBorders>
            <w:vAlign w:val="center"/>
            <w:hideMark/>
          </w:tcPr>
          <w:p w14:paraId="3AFC7FD7"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saskaņā ar vidēja termiņa budžeta ietvaru</w:t>
            </w:r>
          </w:p>
        </w:tc>
        <w:tc>
          <w:tcPr>
            <w:tcW w:w="539" w:type="pct"/>
            <w:tcBorders>
              <w:top w:val="outset" w:sz="6" w:space="0" w:color="auto"/>
              <w:left w:val="outset" w:sz="6" w:space="0" w:color="auto"/>
              <w:bottom w:val="outset" w:sz="6" w:space="0" w:color="auto"/>
              <w:right w:val="outset" w:sz="6" w:space="0" w:color="auto"/>
            </w:tcBorders>
            <w:vAlign w:val="center"/>
            <w:hideMark/>
          </w:tcPr>
          <w:p w14:paraId="03C13459" w14:textId="12FBB803" w:rsidR="00655F2C" w:rsidRPr="003A01DF" w:rsidRDefault="00E5323B" w:rsidP="003B2D97">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izmaiņas, salīdzinot ar vidēja termiņa budžeta ietvaru </w:t>
            </w:r>
            <w:r w:rsidR="003B2D97">
              <w:rPr>
                <w:rFonts w:ascii="Times New Roman" w:eastAsia="Times New Roman" w:hAnsi="Times New Roman" w:cs="Times New Roman"/>
                <w:iCs/>
                <w:sz w:val="24"/>
                <w:szCs w:val="24"/>
                <w:lang w:eastAsia="lv-LV"/>
              </w:rPr>
              <w:t>2022.</w:t>
            </w:r>
            <w:r w:rsidRPr="003A01DF">
              <w:rPr>
                <w:rFonts w:ascii="Times New Roman" w:eastAsia="Times New Roman" w:hAnsi="Times New Roman" w:cs="Times New Roman"/>
                <w:iCs/>
                <w:sz w:val="24"/>
                <w:szCs w:val="24"/>
                <w:lang w:eastAsia="lv-LV"/>
              </w:rPr>
              <w:t xml:space="preserve"> gadam</w:t>
            </w:r>
          </w:p>
        </w:tc>
        <w:tc>
          <w:tcPr>
            <w:tcW w:w="539" w:type="pct"/>
            <w:tcBorders>
              <w:top w:val="outset" w:sz="6" w:space="0" w:color="auto"/>
              <w:left w:val="outset" w:sz="6" w:space="0" w:color="auto"/>
              <w:bottom w:val="outset" w:sz="6" w:space="0" w:color="auto"/>
              <w:right w:val="outset" w:sz="6" w:space="0" w:color="auto"/>
            </w:tcBorders>
            <w:vAlign w:val="center"/>
            <w:hideMark/>
          </w:tcPr>
          <w:p w14:paraId="2601FA9F"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saskaņā ar vidēja termiņa budžeta ietvaru</w:t>
            </w:r>
          </w:p>
        </w:tc>
        <w:tc>
          <w:tcPr>
            <w:tcW w:w="539" w:type="pct"/>
            <w:tcBorders>
              <w:top w:val="outset" w:sz="6" w:space="0" w:color="auto"/>
              <w:left w:val="outset" w:sz="6" w:space="0" w:color="auto"/>
              <w:bottom w:val="outset" w:sz="6" w:space="0" w:color="auto"/>
              <w:right w:val="outset" w:sz="6" w:space="0" w:color="auto"/>
            </w:tcBorders>
            <w:vAlign w:val="center"/>
            <w:hideMark/>
          </w:tcPr>
          <w:p w14:paraId="34F879C2" w14:textId="5723686B" w:rsidR="00655F2C" w:rsidRPr="003A01DF" w:rsidRDefault="00E5323B" w:rsidP="002C1096">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izmaiņas, salīdzinot ar vidēja termiņa budžeta ietvaru </w:t>
            </w:r>
            <w:r w:rsidR="002C1096">
              <w:rPr>
                <w:rFonts w:ascii="Times New Roman" w:eastAsia="Times New Roman" w:hAnsi="Times New Roman" w:cs="Times New Roman"/>
                <w:iCs/>
                <w:sz w:val="24"/>
                <w:szCs w:val="24"/>
                <w:lang w:eastAsia="lv-LV"/>
              </w:rPr>
              <w:t>2023.</w:t>
            </w:r>
            <w:r w:rsidRPr="003A01DF">
              <w:rPr>
                <w:rFonts w:ascii="Times New Roman" w:eastAsia="Times New Roman" w:hAnsi="Times New Roman" w:cs="Times New Roman"/>
                <w:iCs/>
                <w:sz w:val="24"/>
                <w:szCs w:val="24"/>
                <w:lang w:eastAsia="lv-LV"/>
              </w:rPr>
              <w:t xml:space="preserve"> gadam</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3B63D2B5" w14:textId="28DC6C67" w:rsidR="00655F2C" w:rsidRPr="003A01DF" w:rsidRDefault="00E5323B" w:rsidP="00A80972">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izmaiņas, salīdzinot ar vidēja termiņa budžeta ietvaru </w:t>
            </w:r>
            <w:r w:rsidR="00A80972">
              <w:rPr>
                <w:rFonts w:ascii="Times New Roman" w:eastAsia="Times New Roman" w:hAnsi="Times New Roman" w:cs="Times New Roman"/>
                <w:iCs/>
                <w:sz w:val="24"/>
                <w:szCs w:val="24"/>
                <w:lang w:eastAsia="lv-LV"/>
              </w:rPr>
              <w:t>2023.</w:t>
            </w:r>
            <w:r w:rsidRPr="003A01DF">
              <w:rPr>
                <w:rFonts w:ascii="Times New Roman" w:eastAsia="Times New Roman" w:hAnsi="Times New Roman" w:cs="Times New Roman"/>
                <w:iCs/>
                <w:sz w:val="24"/>
                <w:szCs w:val="24"/>
                <w:lang w:eastAsia="lv-LV"/>
              </w:rPr>
              <w:t xml:space="preserve"> gadam</w:t>
            </w:r>
          </w:p>
        </w:tc>
      </w:tr>
      <w:tr w:rsidR="0001268A" w:rsidRPr="003A01DF" w14:paraId="724E61DA"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656599C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C9D2CC"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636" w:type="pct"/>
            <w:tcBorders>
              <w:top w:val="outset" w:sz="6" w:space="0" w:color="auto"/>
              <w:left w:val="outset" w:sz="6" w:space="0" w:color="auto"/>
              <w:bottom w:val="outset" w:sz="6" w:space="0" w:color="auto"/>
              <w:right w:val="outset" w:sz="6" w:space="0" w:color="auto"/>
            </w:tcBorders>
            <w:vAlign w:val="center"/>
            <w:hideMark/>
          </w:tcPr>
          <w:p w14:paraId="2AA88B9E"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539" w:type="pct"/>
            <w:tcBorders>
              <w:top w:val="outset" w:sz="6" w:space="0" w:color="auto"/>
              <w:left w:val="outset" w:sz="6" w:space="0" w:color="auto"/>
              <w:bottom w:val="outset" w:sz="6" w:space="0" w:color="auto"/>
              <w:right w:val="outset" w:sz="6" w:space="0" w:color="auto"/>
            </w:tcBorders>
            <w:vAlign w:val="center"/>
            <w:hideMark/>
          </w:tcPr>
          <w:p w14:paraId="1F00E605"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539" w:type="pct"/>
            <w:tcBorders>
              <w:top w:val="outset" w:sz="6" w:space="0" w:color="auto"/>
              <w:left w:val="outset" w:sz="6" w:space="0" w:color="auto"/>
              <w:bottom w:val="outset" w:sz="6" w:space="0" w:color="auto"/>
              <w:right w:val="outset" w:sz="6" w:space="0" w:color="auto"/>
            </w:tcBorders>
            <w:vAlign w:val="center"/>
            <w:hideMark/>
          </w:tcPr>
          <w:p w14:paraId="00851B7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w:t>
            </w:r>
          </w:p>
        </w:tc>
        <w:tc>
          <w:tcPr>
            <w:tcW w:w="539" w:type="pct"/>
            <w:tcBorders>
              <w:top w:val="outset" w:sz="6" w:space="0" w:color="auto"/>
              <w:left w:val="outset" w:sz="6" w:space="0" w:color="auto"/>
              <w:bottom w:val="outset" w:sz="6" w:space="0" w:color="auto"/>
              <w:right w:val="outset" w:sz="6" w:space="0" w:color="auto"/>
            </w:tcBorders>
            <w:vAlign w:val="center"/>
            <w:hideMark/>
          </w:tcPr>
          <w:p w14:paraId="0D7A9EC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6</w:t>
            </w:r>
          </w:p>
        </w:tc>
        <w:tc>
          <w:tcPr>
            <w:tcW w:w="539" w:type="pct"/>
            <w:tcBorders>
              <w:top w:val="outset" w:sz="6" w:space="0" w:color="auto"/>
              <w:left w:val="outset" w:sz="6" w:space="0" w:color="auto"/>
              <w:bottom w:val="outset" w:sz="6" w:space="0" w:color="auto"/>
              <w:right w:val="outset" w:sz="6" w:space="0" w:color="auto"/>
            </w:tcBorders>
            <w:vAlign w:val="center"/>
            <w:hideMark/>
          </w:tcPr>
          <w:p w14:paraId="342A4B9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7</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55A33C55"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8</w:t>
            </w:r>
          </w:p>
        </w:tc>
      </w:tr>
      <w:tr w:rsidR="0001268A" w:rsidRPr="003A01DF" w14:paraId="605BA627"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440CEFF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 Budžeta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5EB5AA" w14:textId="363D6F39" w:rsidR="00E5323B" w:rsidRPr="003A01DF" w:rsidRDefault="00E5323B" w:rsidP="007763C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83CD7" w:rsidRPr="003A01DF">
              <w:rPr>
                <w:rFonts w:ascii="Times New Roman" w:eastAsia="Times New Roman" w:hAnsi="Times New Roman" w:cs="Times New Roman"/>
                <w:iCs/>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vAlign w:val="center"/>
            <w:hideMark/>
          </w:tcPr>
          <w:p w14:paraId="52086185" w14:textId="77777777" w:rsidR="00DD2034" w:rsidRPr="003A01DF" w:rsidRDefault="00DD2034" w:rsidP="007763C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2F6C19EB" w14:textId="32492CEC" w:rsidR="00E5323B" w:rsidRPr="003A01DF" w:rsidRDefault="00DD2034" w:rsidP="007763C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378EA29A"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612B1A12" w14:textId="7600CF0D"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48C56456"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4D940C3D" w14:textId="57A7199F"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560041F6"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43A668FC" w14:textId="62EF6118"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5700FD35"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621669CE" w14:textId="5BFEC22E"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3F23228B" w14:textId="387B1B7A"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10E5F102" w14:textId="41F1026A"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47CE2161"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7020A7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1.1. valsts pamatbudžets, tai skaitā ieņēmumi no </w:t>
            </w:r>
            <w:r w:rsidRPr="003A01DF">
              <w:rPr>
                <w:rFonts w:ascii="Times New Roman" w:eastAsia="Times New Roman" w:hAnsi="Times New Roman" w:cs="Times New Roman"/>
                <w:iCs/>
                <w:sz w:val="24"/>
                <w:szCs w:val="24"/>
                <w:lang w:eastAsia="lv-LV"/>
              </w:rPr>
              <w:lastRenderedPageBreak/>
              <w:t>maksas pakalpojumiem un citi pašu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598C4A" w14:textId="68ACA225"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 </w:t>
            </w:r>
            <w:r w:rsidR="00D83CD7" w:rsidRPr="003A01DF">
              <w:rPr>
                <w:rFonts w:ascii="Times New Roman" w:eastAsia="Times New Roman" w:hAnsi="Times New Roman" w:cs="Times New Roman"/>
                <w:iCs/>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vAlign w:val="center"/>
            <w:hideMark/>
          </w:tcPr>
          <w:p w14:paraId="03BF9C29"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5A67F123" w14:textId="68D684D1"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6C785C7F"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609AA806" w14:textId="60815564"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7E0BEDD5"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282CE5FE" w14:textId="2AB004E2"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33991C7A"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5D8005C2" w14:textId="13E63583"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0419365D"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1369BE11" w14:textId="56473CFD"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22565A5C"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5AAD5CCE" w14:textId="1D6944C3"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13F4D04F"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49E3583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BBDE8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36" w:type="pct"/>
            <w:tcBorders>
              <w:top w:val="outset" w:sz="6" w:space="0" w:color="auto"/>
              <w:left w:val="outset" w:sz="6" w:space="0" w:color="auto"/>
              <w:bottom w:val="outset" w:sz="6" w:space="0" w:color="auto"/>
              <w:right w:val="outset" w:sz="6" w:space="0" w:color="auto"/>
            </w:tcBorders>
            <w:vAlign w:val="center"/>
            <w:hideMark/>
          </w:tcPr>
          <w:p w14:paraId="0F545210" w14:textId="5B4CDE34" w:rsidR="00E5323B" w:rsidRPr="003A01DF" w:rsidRDefault="00E5323B" w:rsidP="007763C4">
            <w:pPr>
              <w:spacing w:after="0" w:line="240" w:lineRule="auto"/>
              <w:jc w:val="center"/>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30DCD6B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2325754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6F11265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FF8D9F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8CF4E2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08231DD7"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1E8206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2F974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36" w:type="pct"/>
            <w:tcBorders>
              <w:top w:val="outset" w:sz="6" w:space="0" w:color="auto"/>
              <w:left w:val="outset" w:sz="6" w:space="0" w:color="auto"/>
              <w:bottom w:val="outset" w:sz="6" w:space="0" w:color="auto"/>
              <w:right w:val="outset" w:sz="6" w:space="0" w:color="auto"/>
            </w:tcBorders>
            <w:vAlign w:val="center"/>
            <w:hideMark/>
          </w:tcPr>
          <w:p w14:paraId="09CBA822" w14:textId="2EF55EBD" w:rsidR="00E5323B" w:rsidRPr="003A01DF" w:rsidRDefault="00E5323B" w:rsidP="007763C4">
            <w:pPr>
              <w:spacing w:after="0" w:line="240" w:lineRule="auto"/>
              <w:jc w:val="center"/>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64FDE7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B9F9C0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3532EDE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DDD738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33A6269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492C7B06"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463C70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 Budžeta izdevumi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17AD712D" w14:textId="711507B6"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83CD7" w:rsidRPr="003A01DF">
              <w:rPr>
                <w:rFonts w:ascii="Times New Roman" w:eastAsia="Times New Roman" w:hAnsi="Times New Roman" w:cs="Times New Roman"/>
                <w:iCs/>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vAlign w:val="center"/>
            <w:hideMark/>
          </w:tcPr>
          <w:p w14:paraId="154F7507"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73DB8317" w14:textId="24493854"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49CBB7B0"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47410EF4" w14:textId="2752AFE8"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2EE9683C"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25E77B63" w14:textId="4B508E41"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72976CA4"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3C754926" w14:textId="362FD134"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7603BFC6"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7A841BE1" w14:textId="08E0F4C3"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544B4715" w14:textId="6DEEC57B"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392E8837" w14:textId="66F2E42B"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7B504FC9"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4A78753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3679C2" w14:textId="66DAD289"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83CD7" w:rsidRPr="003A01DF">
              <w:rPr>
                <w:rFonts w:ascii="Times New Roman" w:eastAsia="Times New Roman" w:hAnsi="Times New Roman" w:cs="Times New Roman"/>
                <w:iCs/>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vAlign w:val="center"/>
            <w:hideMark/>
          </w:tcPr>
          <w:p w14:paraId="6ED3B499"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66E9BDB9" w14:textId="4AC44618"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7D137076"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30204F87" w14:textId="6DCE66A3"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0C9FEF37"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6297C868" w14:textId="6EA8CDBF"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57E36EAB"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73F019DE" w14:textId="4B196CF6"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67B0A8BE"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5D1D3C8D" w14:textId="7F4677A2"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6C340A67" w14:textId="7C1AF93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45A8E46F" w14:textId="23800D0D"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20EE3F4E"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5311CD93"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086E7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36" w:type="pct"/>
            <w:tcBorders>
              <w:top w:val="outset" w:sz="6" w:space="0" w:color="auto"/>
              <w:left w:val="outset" w:sz="6" w:space="0" w:color="auto"/>
              <w:bottom w:val="outset" w:sz="6" w:space="0" w:color="auto"/>
              <w:right w:val="outset" w:sz="6" w:space="0" w:color="auto"/>
            </w:tcBorders>
            <w:vAlign w:val="center"/>
            <w:hideMark/>
          </w:tcPr>
          <w:p w14:paraId="7782EB4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488DC0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416E05A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34DAF2E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4EA4E2E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26A19C1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634AB490"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6EFF4D1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3DE05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36" w:type="pct"/>
            <w:tcBorders>
              <w:top w:val="outset" w:sz="6" w:space="0" w:color="auto"/>
              <w:left w:val="outset" w:sz="6" w:space="0" w:color="auto"/>
              <w:bottom w:val="outset" w:sz="6" w:space="0" w:color="auto"/>
              <w:right w:val="outset" w:sz="6" w:space="0" w:color="auto"/>
            </w:tcBorders>
            <w:vAlign w:val="center"/>
            <w:hideMark/>
          </w:tcPr>
          <w:p w14:paraId="07D575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22FC2E7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3F8E4D4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5137D81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666AAE4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25AC6FD3"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1FB91E6F"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43FDDA0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 Finansiālā ietekme</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A1C64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36" w:type="pct"/>
            <w:tcBorders>
              <w:top w:val="outset" w:sz="6" w:space="0" w:color="auto"/>
              <w:left w:val="outset" w:sz="6" w:space="0" w:color="auto"/>
              <w:bottom w:val="outset" w:sz="6" w:space="0" w:color="auto"/>
              <w:right w:val="outset" w:sz="6" w:space="0" w:color="auto"/>
            </w:tcBorders>
            <w:vAlign w:val="center"/>
            <w:hideMark/>
          </w:tcPr>
          <w:p w14:paraId="653FC703"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5AC2B3C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A78A70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01AC6C1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4EBAAEC1"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6ACEEF2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2B94CB6A"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1BD1409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45A7F0D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36" w:type="pct"/>
            <w:tcBorders>
              <w:top w:val="outset" w:sz="6" w:space="0" w:color="auto"/>
              <w:left w:val="outset" w:sz="6" w:space="0" w:color="auto"/>
              <w:bottom w:val="outset" w:sz="6" w:space="0" w:color="auto"/>
              <w:right w:val="outset" w:sz="6" w:space="0" w:color="auto"/>
            </w:tcBorders>
            <w:vAlign w:val="center"/>
            <w:hideMark/>
          </w:tcPr>
          <w:p w14:paraId="56D052D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11069B9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458B73A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11E197C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1689792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32F9934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16A0176A"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064C5E3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3.2.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C6A95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36" w:type="pct"/>
            <w:tcBorders>
              <w:top w:val="outset" w:sz="6" w:space="0" w:color="auto"/>
              <w:left w:val="outset" w:sz="6" w:space="0" w:color="auto"/>
              <w:bottom w:val="outset" w:sz="6" w:space="0" w:color="auto"/>
              <w:right w:val="outset" w:sz="6" w:space="0" w:color="auto"/>
            </w:tcBorders>
            <w:vAlign w:val="center"/>
            <w:hideMark/>
          </w:tcPr>
          <w:p w14:paraId="725A334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096E4D7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679E8EE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48DCB7A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567ED1B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5A414FD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54F651DD"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16AEF51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FDDE1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36" w:type="pct"/>
            <w:tcBorders>
              <w:top w:val="outset" w:sz="6" w:space="0" w:color="auto"/>
              <w:left w:val="outset" w:sz="6" w:space="0" w:color="auto"/>
              <w:bottom w:val="outset" w:sz="6" w:space="0" w:color="auto"/>
              <w:right w:val="outset" w:sz="6" w:space="0" w:color="auto"/>
            </w:tcBorders>
            <w:vAlign w:val="center"/>
            <w:hideMark/>
          </w:tcPr>
          <w:p w14:paraId="363E8EB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18F60BA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322AB5B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2B8A7E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39" w:type="pct"/>
            <w:tcBorders>
              <w:top w:val="outset" w:sz="6" w:space="0" w:color="auto"/>
              <w:left w:val="outset" w:sz="6" w:space="0" w:color="auto"/>
              <w:bottom w:val="outset" w:sz="6" w:space="0" w:color="auto"/>
              <w:right w:val="outset" w:sz="6" w:space="0" w:color="auto"/>
            </w:tcBorders>
            <w:vAlign w:val="center"/>
            <w:hideMark/>
          </w:tcPr>
          <w:p w14:paraId="7B16995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2D05DCD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49CE0231"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08AF6DB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11DF6D"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636" w:type="pct"/>
            <w:tcBorders>
              <w:top w:val="outset" w:sz="6" w:space="0" w:color="auto"/>
              <w:left w:val="outset" w:sz="6" w:space="0" w:color="auto"/>
              <w:bottom w:val="outset" w:sz="6" w:space="0" w:color="auto"/>
              <w:right w:val="outset" w:sz="6" w:space="0" w:color="auto"/>
            </w:tcBorders>
            <w:vAlign w:val="center"/>
            <w:hideMark/>
          </w:tcPr>
          <w:p w14:paraId="737C34C9"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41B5246D" w14:textId="7F01EE9D"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5D433C8B"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7D45A6CB"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77767D41" w14:textId="741CB85F"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tcBorders>
              <w:top w:val="outset" w:sz="6" w:space="0" w:color="auto"/>
              <w:left w:val="outset" w:sz="6" w:space="0" w:color="auto"/>
              <w:bottom w:val="outset" w:sz="6" w:space="0" w:color="auto"/>
              <w:right w:val="outset" w:sz="6" w:space="0" w:color="auto"/>
            </w:tcBorders>
            <w:vAlign w:val="center"/>
            <w:hideMark/>
          </w:tcPr>
          <w:p w14:paraId="17B021E0"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141EF8B9"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5B103A35" w14:textId="03388E21"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39E243A3" w14:textId="07584F1A"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1895E710" w14:textId="38499596"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6E7EFE32"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7F36E02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 Precizēta finansiālā ietekme</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14:paraId="7742F809"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5F325B71"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29EAE6BA"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33A23DE5"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22D493D"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4E5F9B33"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636" w:type="pct"/>
            <w:tcBorders>
              <w:top w:val="outset" w:sz="6" w:space="0" w:color="auto"/>
              <w:left w:val="outset" w:sz="6" w:space="0" w:color="auto"/>
              <w:bottom w:val="outset" w:sz="6" w:space="0" w:color="auto"/>
              <w:right w:val="outset" w:sz="6" w:space="0" w:color="auto"/>
            </w:tcBorders>
            <w:vAlign w:val="center"/>
            <w:hideMark/>
          </w:tcPr>
          <w:p w14:paraId="69AE1021"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44D1DF0D" w14:textId="55ADC0B1"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vMerge w:val="restart"/>
            <w:tcBorders>
              <w:top w:val="outset" w:sz="6" w:space="0" w:color="auto"/>
              <w:left w:val="outset" w:sz="6" w:space="0" w:color="auto"/>
              <w:bottom w:val="outset" w:sz="6" w:space="0" w:color="auto"/>
              <w:right w:val="outset" w:sz="6" w:space="0" w:color="auto"/>
            </w:tcBorders>
            <w:vAlign w:val="center"/>
            <w:hideMark/>
          </w:tcPr>
          <w:p w14:paraId="4266C24D"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B38CFDF"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4D8B9E4A"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00445587"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5891CAF2"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6C239AE0"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58F6DA85"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2CF9805B" w14:textId="112A0074"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39" w:type="pct"/>
            <w:vMerge w:val="restart"/>
            <w:tcBorders>
              <w:top w:val="outset" w:sz="6" w:space="0" w:color="auto"/>
              <w:left w:val="outset" w:sz="6" w:space="0" w:color="auto"/>
              <w:bottom w:val="outset" w:sz="6" w:space="0" w:color="auto"/>
              <w:right w:val="outset" w:sz="6" w:space="0" w:color="auto"/>
            </w:tcBorders>
            <w:vAlign w:val="center"/>
            <w:hideMark/>
          </w:tcPr>
          <w:p w14:paraId="7ABDFBFF"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657956C7"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B02F4EB"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3B7AD967"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2F30BF9"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11F3B34"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14:paraId="04EE22FE"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562F1B85" w14:textId="3EC10CF7"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1DA211B7" w14:textId="510E7DF5"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683FB13A" w14:textId="6D8E6D9F"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67CFED60"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18EAB53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5.1. valsts pamatbudžets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7F37760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636" w:type="pct"/>
            <w:tcBorders>
              <w:top w:val="outset" w:sz="6" w:space="0" w:color="auto"/>
              <w:left w:val="outset" w:sz="6" w:space="0" w:color="auto"/>
              <w:bottom w:val="outset" w:sz="6" w:space="0" w:color="auto"/>
              <w:right w:val="outset" w:sz="6" w:space="0" w:color="auto"/>
            </w:tcBorders>
            <w:vAlign w:val="center"/>
            <w:hideMark/>
          </w:tcPr>
          <w:p w14:paraId="63F451B3"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0DB772A3" w14:textId="2EEF1C44"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B5A25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16F979AD"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4022D11B" w14:textId="7BBD9792"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BCD44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2A5DA3F0"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71293921" w14:textId="6566EDE0"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79FF9569" w14:textId="57344812"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558198CE" w14:textId="5D13E06B"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09F577BC"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2ED2743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5.2. speciālais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5AC10A8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636" w:type="pct"/>
            <w:tcBorders>
              <w:top w:val="outset" w:sz="6" w:space="0" w:color="auto"/>
              <w:left w:val="outset" w:sz="6" w:space="0" w:color="auto"/>
              <w:bottom w:val="outset" w:sz="6" w:space="0" w:color="auto"/>
              <w:right w:val="outset" w:sz="6" w:space="0" w:color="auto"/>
            </w:tcBorders>
            <w:vAlign w:val="center"/>
            <w:hideMark/>
          </w:tcPr>
          <w:p w14:paraId="3ABD4E0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6862B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3E9F514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FE125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2E1295F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1A109A2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0CB7A01B"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28FF28A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5.3. pašvaldību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5FC8279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636" w:type="pct"/>
            <w:tcBorders>
              <w:top w:val="outset" w:sz="6" w:space="0" w:color="auto"/>
              <w:left w:val="outset" w:sz="6" w:space="0" w:color="auto"/>
              <w:bottom w:val="outset" w:sz="6" w:space="0" w:color="auto"/>
              <w:right w:val="outset" w:sz="6" w:space="0" w:color="auto"/>
            </w:tcBorders>
            <w:vAlign w:val="center"/>
            <w:hideMark/>
          </w:tcPr>
          <w:p w14:paraId="1CA47B0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118F1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55AC533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01D67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148DCA3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1E931C7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7D260385"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7B85D8F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31"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58E2500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19F3B398"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6620EB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6.1. detalizēts ieņēmumu aprēķins</w:t>
            </w:r>
          </w:p>
        </w:tc>
        <w:tc>
          <w:tcPr>
            <w:tcW w:w="4131" w:type="pct"/>
            <w:gridSpan w:val="8"/>
            <w:vMerge/>
            <w:tcBorders>
              <w:top w:val="outset" w:sz="6" w:space="0" w:color="auto"/>
              <w:left w:val="outset" w:sz="6" w:space="0" w:color="auto"/>
              <w:bottom w:val="outset" w:sz="6" w:space="0" w:color="auto"/>
              <w:right w:val="outset" w:sz="6" w:space="0" w:color="auto"/>
            </w:tcBorders>
            <w:vAlign w:val="center"/>
            <w:hideMark/>
          </w:tcPr>
          <w:p w14:paraId="6ADC213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r>
      <w:tr w:rsidR="0001268A" w:rsidRPr="003A01DF" w14:paraId="6A7F6525"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53D9C1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6.2. detalizēts izdevumu aprēķins</w:t>
            </w:r>
          </w:p>
        </w:tc>
        <w:tc>
          <w:tcPr>
            <w:tcW w:w="4131" w:type="pct"/>
            <w:gridSpan w:val="8"/>
            <w:vMerge/>
            <w:tcBorders>
              <w:top w:val="outset" w:sz="6" w:space="0" w:color="auto"/>
              <w:left w:val="outset" w:sz="6" w:space="0" w:color="auto"/>
              <w:bottom w:val="outset" w:sz="6" w:space="0" w:color="auto"/>
              <w:right w:val="outset" w:sz="6" w:space="0" w:color="auto"/>
            </w:tcBorders>
            <w:vAlign w:val="center"/>
            <w:hideMark/>
          </w:tcPr>
          <w:p w14:paraId="17992DD1"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r>
      <w:tr w:rsidR="0001268A" w:rsidRPr="003A01DF" w14:paraId="3823BDDD"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4581B7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7. Amata vietu skaita izmaiņas</w:t>
            </w:r>
          </w:p>
        </w:tc>
        <w:tc>
          <w:tcPr>
            <w:tcW w:w="4131" w:type="pct"/>
            <w:gridSpan w:val="8"/>
            <w:tcBorders>
              <w:top w:val="outset" w:sz="6" w:space="0" w:color="auto"/>
              <w:left w:val="outset" w:sz="6" w:space="0" w:color="auto"/>
              <w:bottom w:val="outset" w:sz="6" w:space="0" w:color="auto"/>
              <w:right w:val="outset" w:sz="6" w:space="0" w:color="auto"/>
            </w:tcBorders>
            <w:hideMark/>
          </w:tcPr>
          <w:p w14:paraId="3321F0E8" w14:textId="21311726" w:rsidR="00E5323B" w:rsidRPr="003A01DF" w:rsidRDefault="00E5323B" w:rsidP="001177DA">
            <w:pPr>
              <w:spacing w:after="0" w:line="240" w:lineRule="auto"/>
              <w:ind w:firstLine="527"/>
              <w:rPr>
                <w:rFonts w:ascii="Times New Roman" w:eastAsia="Times New Roman" w:hAnsi="Times New Roman" w:cs="Times New Roman"/>
                <w:iCs/>
                <w:sz w:val="24"/>
                <w:szCs w:val="24"/>
                <w:lang w:eastAsia="lv-LV"/>
              </w:rPr>
            </w:pPr>
          </w:p>
        </w:tc>
      </w:tr>
      <w:tr w:rsidR="0001268A" w:rsidRPr="003A01DF" w14:paraId="73C57E34" w14:textId="77777777" w:rsidTr="00B27ED2">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4E3788F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8. Cita informācija</w:t>
            </w:r>
          </w:p>
        </w:tc>
        <w:tc>
          <w:tcPr>
            <w:tcW w:w="4131" w:type="pct"/>
            <w:gridSpan w:val="8"/>
            <w:tcBorders>
              <w:top w:val="outset" w:sz="6" w:space="0" w:color="auto"/>
              <w:left w:val="outset" w:sz="6" w:space="0" w:color="auto"/>
              <w:bottom w:val="outset" w:sz="6" w:space="0" w:color="auto"/>
              <w:right w:val="outset" w:sz="6" w:space="0" w:color="auto"/>
            </w:tcBorders>
            <w:hideMark/>
          </w:tcPr>
          <w:p w14:paraId="55192123" w14:textId="7E821ED5" w:rsidR="00EA37C1" w:rsidRPr="003A01DF" w:rsidRDefault="003916FB" w:rsidP="00EA37C1">
            <w:pPr>
              <w:spacing w:after="0" w:line="240" w:lineRule="auto"/>
              <w:ind w:firstLine="435"/>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Aizsardzības ministrija</w:t>
            </w:r>
            <w:r w:rsidR="00EA37C1" w:rsidRPr="003A01DF">
              <w:rPr>
                <w:rFonts w:ascii="Times New Roman" w:eastAsia="Times New Roman" w:hAnsi="Times New Roman" w:cs="Times New Roman"/>
                <w:iCs/>
                <w:sz w:val="24"/>
                <w:szCs w:val="24"/>
                <w:lang w:eastAsia="lv-LV"/>
              </w:rPr>
              <w:t xml:space="preserve"> no budžeta </w:t>
            </w:r>
            <w:r w:rsidR="007B3532" w:rsidRPr="003A01DF">
              <w:rPr>
                <w:rFonts w:ascii="Times New Roman" w:eastAsia="Times New Roman" w:hAnsi="Times New Roman" w:cs="Times New Roman"/>
                <w:iCs/>
                <w:sz w:val="24"/>
                <w:szCs w:val="24"/>
                <w:lang w:eastAsia="lv-LV"/>
              </w:rPr>
              <w:t>apakš</w:t>
            </w:r>
            <w:r w:rsidR="00EA37C1" w:rsidRPr="003A01DF">
              <w:rPr>
                <w:rFonts w:ascii="Times New Roman" w:eastAsia="Times New Roman" w:hAnsi="Times New Roman" w:cs="Times New Roman"/>
                <w:iCs/>
                <w:sz w:val="24"/>
                <w:szCs w:val="24"/>
                <w:lang w:eastAsia="lv-LV"/>
              </w:rPr>
              <w:t>programmas 22.12.00. “Nacionālo bruņoto spēku uzturēšana”</w:t>
            </w:r>
            <w:r w:rsidRPr="003A01DF">
              <w:rPr>
                <w:rFonts w:ascii="Times New Roman" w:eastAsia="Times New Roman" w:hAnsi="Times New Roman" w:cs="Times New Roman"/>
                <w:iCs/>
                <w:sz w:val="24"/>
                <w:szCs w:val="24"/>
                <w:lang w:eastAsia="lv-LV"/>
              </w:rPr>
              <w:t xml:space="preserve"> atlīdzinās</w:t>
            </w:r>
            <w:r w:rsidR="00EA37C1" w:rsidRPr="003A01DF">
              <w:rPr>
                <w:rFonts w:ascii="Times New Roman" w:eastAsia="Times New Roman" w:hAnsi="Times New Roman" w:cs="Times New Roman"/>
                <w:iCs/>
                <w:sz w:val="24"/>
                <w:szCs w:val="24"/>
                <w:lang w:eastAsia="lv-LV"/>
              </w:rPr>
              <w:t>:</w:t>
            </w:r>
          </w:p>
          <w:p w14:paraId="2C229CC0" w14:textId="616142ED" w:rsidR="00C87670" w:rsidRPr="003A01DF" w:rsidRDefault="00C87670" w:rsidP="00373F46">
            <w:pPr>
              <w:pStyle w:val="ListParagraph"/>
              <w:numPr>
                <w:ilvl w:val="0"/>
                <w:numId w:val="1"/>
              </w:numPr>
              <w:spacing w:after="0" w:line="240" w:lineRule="auto"/>
              <w:ind w:left="9" w:firstLine="426"/>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zaudējumus, kas </w:t>
            </w:r>
            <w:r w:rsidRPr="006C546C">
              <w:rPr>
                <w:rFonts w:ascii="Times New Roman" w:eastAsia="Times New Roman" w:hAnsi="Times New Roman" w:cs="Times New Roman"/>
                <w:iCs/>
                <w:sz w:val="24"/>
                <w:szCs w:val="24"/>
                <w:lang w:eastAsia="lv-LV"/>
              </w:rPr>
              <w:t>radīsies Latvijas Nacionālo bruņoto spēku speciālās militārās tehnikas</w:t>
            </w:r>
            <w:r w:rsidR="00666E23" w:rsidRPr="006C546C">
              <w:rPr>
                <w:rFonts w:ascii="Times New Roman" w:eastAsia="Times New Roman" w:hAnsi="Times New Roman" w:cs="Times New Roman"/>
                <w:iCs/>
                <w:sz w:val="24"/>
                <w:szCs w:val="24"/>
                <w:lang w:eastAsia="lv-LV"/>
              </w:rPr>
              <w:t xml:space="preserve"> savienojumā ar speciālo militārās tehnikas piekabi vai speciālās militārās tehnikas piekabes</w:t>
            </w:r>
            <w:r w:rsidR="009A7717" w:rsidRPr="006C546C">
              <w:rPr>
                <w:rFonts w:ascii="Times New Roman" w:eastAsia="Times New Roman" w:hAnsi="Times New Roman" w:cs="Times New Roman"/>
                <w:iCs/>
                <w:sz w:val="24"/>
                <w:szCs w:val="24"/>
                <w:lang w:eastAsia="lv-LV"/>
              </w:rPr>
              <w:t xml:space="preserve"> </w:t>
            </w:r>
            <w:r w:rsidRPr="006C546C">
              <w:rPr>
                <w:rFonts w:ascii="Times New Roman" w:eastAsia="Times New Roman" w:hAnsi="Times New Roman" w:cs="Times New Roman"/>
                <w:iCs/>
                <w:sz w:val="24"/>
                <w:szCs w:val="24"/>
                <w:lang w:eastAsia="lv-LV"/>
              </w:rPr>
              <w:t xml:space="preserve">izraisītā </w:t>
            </w:r>
            <w:r w:rsidR="006C546C" w:rsidRPr="006C546C">
              <w:rPr>
                <w:rFonts w:ascii="Times New Roman" w:eastAsia="Times New Roman" w:hAnsi="Times New Roman" w:cs="Times New Roman"/>
                <w:iCs/>
                <w:sz w:val="24"/>
                <w:szCs w:val="24"/>
                <w:lang w:eastAsia="lv-LV"/>
              </w:rPr>
              <w:t>ceļu satiksmes</w:t>
            </w:r>
            <w:r w:rsidR="006C546C">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negadījum</w:t>
            </w:r>
            <w:r w:rsidR="00373F46" w:rsidRPr="003A01DF">
              <w:rPr>
                <w:rFonts w:ascii="Times New Roman" w:eastAsia="Times New Roman" w:hAnsi="Times New Roman" w:cs="Times New Roman"/>
                <w:iCs/>
                <w:sz w:val="24"/>
                <w:szCs w:val="24"/>
                <w:lang w:eastAsia="lv-LV"/>
              </w:rPr>
              <w:t>ā, kas noticis Eiropas Ekonomikas zonā</w:t>
            </w:r>
            <w:r w:rsidR="006C546C">
              <w:rPr>
                <w:rFonts w:ascii="Times New Roman" w:eastAsia="Times New Roman" w:hAnsi="Times New Roman" w:cs="Times New Roman"/>
                <w:iCs/>
                <w:sz w:val="24"/>
                <w:szCs w:val="24"/>
                <w:lang w:eastAsia="lv-LV"/>
              </w:rPr>
              <w:t xml:space="preserve"> (tai skaitā arī Latvijā)</w:t>
            </w:r>
            <w:r w:rsidR="00A663C2">
              <w:rPr>
                <w:rFonts w:ascii="Times New Roman" w:eastAsia="Times New Roman" w:hAnsi="Times New Roman" w:cs="Times New Roman"/>
                <w:iCs/>
                <w:sz w:val="24"/>
                <w:szCs w:val="24"/>
                <w:lang w:eastAsia="lv-LV"/>
              </w:rPr>
              <w:t>,</w:t>
            </w:r>
            <w:r w:rsidR="00373F46" w:rsidRPr="003A01DF">
              <w:rPr>
                <w:rFonts w:ascii="Times New Roman" w:eastAsia="Times New Roman" w:hAnsi="Times New Roman" w:cs="Times New Roman"/>
                <w:iCs/>
                <w:sz w:val="24"/>
                <w:szCs w:val="24"/>
                <w:lang w:eastAsia="lv-LV"/>
              </w:rPr>
              <w:t xml:space="preserve"> Šveices Konfederācijā</w:t>
            </w:r>
            <w:r w:rsidR="00A663C2">
              <w:rPr>
                <w:rFonts w:ascii="Times New Roman" w:eastAsia="Times New Roman" w:hAnsi="Times New Roman" w:cs="Times New Roman"/>
                <w:iCs/>
                <w:sz w:val="24"/>
                <w:szCs w:val="24"/>
                <w:lang w:eastAsia="lv-LV"/>
              </w:rPr>
              <w:t xml:space="preserve"> vai ārpus Eiropas Ekonomikas zonas un Šveices Konfederācijas</w:t>
            </w:r>
            <w:r w:rsidR="002A0E46" w:rsidRPr="003A01DF">
              <w:rPr>
                <w:rFonts w:ascii="Times New Roman" w:eastAsia="Times New Roman" w:hAnsi="Times New Roman" w:cs="Times New Roman"/>
                <w:iCs/>
                <w:sz w:val="24"/>
                <w:szCs w:val="24"/>
                <w:lang w:eastAsia="lv-LV"/>
              </w:rPr>
              <w:t>;</w:t>
            </w:r>
            <w:r w:rsidR="00373F46" w:rsidRPr="003A01DF">
              <w:rPr>
                <w:rFonts w:ascii="Times New Roman" w:eastAsia="Times New Roman" w:hAnsi="Times New Roman" w:cs="Times New Roman"/>
                <w:iCs/>
                <w:sz w:val="24"/>
                <w:szCs w:val="24"/>
                <w:lang w:eastAsia="lv-LV"/>
              </w:rPr>
              <w:t xml:space="preserve"> </w:t>
            </w:r>
          </w:p>
          <w:p w14:paraId="37F1C509" w14:textId="59043EED" w:rsidR="00C87670" w:rsidRPr="003A01DF" w:rsidRDefault="0056267B" w:rsidP="0001268A">
            <w:pPr>
              <w:pStyle w:val="ListParagraph"/>
              <w:numPr>
                <w:ilvl w:val="0"/>
                <w:numId w:val="1"/>
              </w:numPr>
              <w:spacing w:after="0" w:line="240" w:lineRule="auto"/>
              <w:ind w:left="9" w:firstLine="426"/>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LTAB </w:t>
            </w:r>
            <w:r w:rsidR="009A7717">
              <w:rPr>
                <w:rFonts w:ascii="Times New Roman" w:eastAsia="Times New Roman" w:hAnsi="Times New Roman" w:cs="Times New Roman"/>
                <w:iCs/>
                <w:sz w:val="24"/>
                <w:szCs w:val="24"/>
                <w:lang w:eastAsia="lv-LV"/>
              </w:rPr>
              <w:t>OCTA likuma 41.</w:t>
            </w:r>
            <w:r w:rsidR="009A7717">
              <w:rPr>
                <w:rFonts w:ascii="Times New Roman" w:eastAsia="Times New Roman" w:hAnsi="Times New Roman" w:cs="Times New Roman"/>
                <w:iCs/>
                <w:sz w:val="24"/>
                <w:szCs w:val="24"/>
                <w:vertAlign w:val="superscript"/>
                <w:lang w:eastAsia="lv-LV"/>
              </w:rPr>
              <w:t xml:space="preserve">1 </w:t>
            </w:r>
            <w:r w:rsidR="009A7717">
              <w:rPr>
                <w:rFonts w:ascii="Times New Roman" w:eastAsia="Times New Roman" w:hAnsi="Times New Roman" w:cs="Times New Roman"/>
                <w:iCs/>
                <w:sz w:val="24"/>
                <w:szCs w:val="24"/>
                <w:lang w:eastAsia="lv-LV"/>
              </w:rPr>
              <w:t>panta otrās daļas</w:t>
            </w:r>
            <w:r w:rsidRPr="003A01DF">
              <w:rPr>
                <w:rFonts w:ascii="Times New Roman" w:eastAsia="Times New Roman" w:hAnsi="Times New Roman" w:cs="Times New Roman"/>
                <w:iCs/>
                <w:sz w:val="24"/>
                <w:szCs w:val="24"/>
                <w:lang w:eastAsia="lv-LV"/>
              </w:rPr>
              <w:t xml:space="preserve"> </w:t>
            </w:r>
            <w:r w:rsidR="009A7717">
              <w:rPr>
                <w:rFonts w:ascii="Times New Roman" w:eastAsia="Times New Roman" w:hAnsi="Times New Roman" w:cs="Times New Roman"/>
                <w:iCs/>
                <w:sz w:val="24"/>
                <w:szCs w:val="24"/>
                <w:lang w:eastAsia="lv-LV"/>
              </w:rPr>
              <w:t>2</w:t>
            </w:r>
            <w:r w:rsidRPr="003A01DF">
              <w:rPr>
                <w:rFonts w:ascii="Times New Roman" w:eastAsia="Times New Roman" w:hAnsi="Times New Roman" w:cs="Times New Roman"/>
                <w:iCs/>
                <w:sz w:val="24"/>
                <w:szCs w:val="24"/>
                <w:lang w:eastAsia="lv-LV"/>
              </w:rPr>
              <w:t>. punktā noteiktos izdevumus;</w:t>
            </w:r>
          </w:p>
          <w:p w14:paraId="5DA5E98E" w14:textId="56743774" w:rsidR="0056267B" w:rsidRPr="003A01DF" w:rsidRDefault="009A7717" w:rsidP="0001268A">
            <w:pPr>
              <w:pStyle w:val="ListParagraph"/>
              <w:numPr>
                <w:ilvl w:val="0"/>
                <w:numId w:val="1"/>
              </w:numPr>
              <w:spacing w:after="0" w:line="240" w:lineRule="auto"/>
              <w:ind w:left="9" w:firstLine="42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OCTA likuma 41.</w:t>
            </w:r>
            <w:r>
              <w:rPr>
                <w:rFonts w:ascii="Times New Roman" w:eastAsia="Times New Roman" w:hAnsi="Times New Roman" w:cs="Times New Roman"/>
                <w:iCs/>
                <w:sz w:val="24"/>
                <w:szCs w:val="24"/>
                <w:vertAlign w:val="superscript"/>
                <w:lang w:eastAsia="lv-LV"/>
              </w:rPr>
              <w:t xml:space="preserve">1 </w:t>
            </w:r>
            <w:r>
              <w:rPr>
                <w:rFonts w:ascii="Times New Roman" w:eastAsia="Times New Roman" w:hAnsi="Times New Roman" w:cs="Times New Roman"/>
                <w:iCs/>
                <w:sz w:val="24"/>
                <w:szCs w:val="24"/>
                <w:lang w:eastAsia="lv-LV"/>
              </w:rPr>
              <w:t>panta otrās daļas</w:t>
            </w:r>
            <w:r w:rsidRPr="003A01D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w:t>
            </w:r>
            <w:r w:rsidRPr="003A01DF">
              <w:rPr>
                <w:rFonts w:ascii="Times New Roman" w:eastAsia="Times New Roman" w:hAnsi="Times New Roman" w:cs="Times New Roman"/>
                <w:iCs/>
                <w:sz w:val="24"/>
                <w:szCs w:val="24"/>
                <w:lang w:eastAsia="lv-LV"/>
              </w:rPr>
              <w:t xml:space="preserve">. punktā </w:t>
            </w:r>
            <w:r w:rsidR="0056267B" w:rsidRPr="003A01DF">
              <w:rPr>
                <w:rFonts w:ascii="Times New Roman" w:eastAsia="Times New Roman" w:hAnsi="Times New Roman" w:cs="Times New Roman"/>
                <w:iCs/>
                <w:sz w:val="24"/>
                <w:szCs w:val="24"/>
                <w:lang w:eastAsia="lv-LV"/>
              </w:rPr>
              <w:t>noteikto kavējumu gadījumā 12 procentus gadā no neizmaksājamās summas.</w:t>
            </w:r>
          </w:p>
          <w:p w14:paraId="486A1EE3" w14:textId="77777777" w:rsidR="00C87670" w:rsidRPr="003A01DF" w:rsidRDefault="00C87670" w:rsidP="0001268A">
            <w:pPr>
              <w:pStyle w:val="ListParagraph"/>
              <w:rPr>
                <w:rFonts w:ascii="Times New Roman" w:eastAsia="Times New Roman" w:hAnsi="Times New Roman" w:cs="Times New Roman"/>
                <w:iCs/>
                <w:sz w:val="24"/>
                <w:szCs w:val="24"/>
                <w:lang w:eastAsia="lv-LV"/>
              </w:rPr>
            </w:pPr>
          </w:p>
          <w:p w14:paraId="438F83F1" w14:textId="2A8B3F99" w:rsidR="00EA37C1" w:rsidRPr="003A01DF" w:rsidRDefault="006F429F" w:rsidP="0001268A">
            <w:pPr>
              <w:pStyle w:val="ListParagraph"/>
              <w:ind w:left="3" w:firstLine="709"/>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Līdzekļi šādu atlīdzinājumu izmaksai </w:t>
            </w:r>
            <w:r w:rsidR="00645084" w:rsidRPr="003A01DF">
              <w:rPr>
                <w:rFonts w:ascii="Times New Roman" w:eastAsia="Times New Roman" w:hAnsi="Times New Roman" w:cs="Times New Roman"/>
                <w:iCs/>
                <w:sz w:val="24"/>
                <w:szCs w:val="24"/>
                <w:lang w:eastAsia="lv-LV"/>
              </w:rPr>
              <w:t xml:space="preserve">Aizsardzības ministrijas budžetā </w:t>
            </w:r>
            <w:r w:rsidRPr="003A01DF">
              <w:rPr>
                <w:rFonts w:ascii="Times New Roman" w:eastAsia="Times New Roman" w:hAnsi="Times New Roman" w:cs="Times New Roman"/>
                <w:iCs/>
                <w:sz w:val="24"/>
                <w:szCs w:val="24"/>
                <w:lang w:eastAsia="lv-LV"/>
              </w:rPr>
              <w:t>nav plānoti, jo speciālās militārās tehnikas</w:t>
            </w:r>
            <w:r w:rsidR="009A7717">
              <w:rPr>
                <w:rFonts w:ascii="Times New Roman" w:eastAsia="Times New Roman" w:hAnsi="Times New Roman" w:cs="Times New Roman"/>
                <w:iCs/>
                <w:sz w:val="24"/>
                <w:szCs w:val="24"/>
                <w:lang w:eastAsia="lv-LV"/>
              </w:rPr>
              <w:t xml:space="preserve"> un speciālās militārās tehnikas piekabju</w:t>
            </w:r>
            <w:r w:rsidRPr="003A01DF">
              <w:rPr>
                <w:rFonts w:ascii="Times New Roman" w:eastAsia="Times New Roman" w:hAnsi="Times New Roman" w:cs="Times New Roman"/>
                <w:iCs/>
                <w:sz w:val="24"/>
                <w:szCs w:val="24"/>
                <w:lang w:eastAsia="lv-LV"/>
              </w:rPr>
              <w:t xml:space="preserve"> izraisīto </w:t>
            </w:r>
            <w:r w:rsidR="006C546C">
              <w:rPr>
                <w:rFonts w:ascii="Times New Roman" w:eastAsia="Times New Roman" w:hAnsi="Times New Roman" w:cs="Times New Roman"/>
                <w:iCs/>
                <w:sz w:val="24"/>
                <w:szCs w:val="24"/>
                <w:lang w:eastAsia="lv-LV"/>
              </w:rPr>
              <w:t xml:space="preserve">ceļu satiksmes </w:t>
            </w:r>
            <w:r w:rsidRPr="003A01DF">
              <w:rPr>
                <w:rFonts w:ascii="Times New Roman" w:eastAsia="Times New Roman" w:hAnsi="Times New Roman" w:cs="Times New Roman"/>
                <w:iCs/>
                <w:sz w:val="24"/>
                <w:szCs w:val="24"/>
                <w:lang w:eastAsia="lv-LV"/>
              </w:rPr>
              <w:t>negadījumu rezultātā nodarīto</w:t>
            </w:r>
            <w:r w:rsidR="002247A8" w:rsidRPr="003A01DF">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 xml:space="preserve">zaudējumu apmērs iepriekš nav paredzams. </w:t>
            </w:r>
            <w:r w:rsidR="002C099B" w:rsidRPr="003A01DF">
              <w:rPr>
                <w:rFonts w:ascii="Times New Roman" w:eastAsia="Times New Roman" w:hAnsi="Times New Roman" w:cs="Times New Roman"/>
                <w:iCs/>
                <w:sz w:val="24"/>
                <w:szCs w:val="24"/>
                <w:lang w:eastAsia="lv-LV"/>
              </w:rPr>
              <w:t xml:space="preserve">Lai nodrošinātu </w:t>
            </w:r>
            <w:r w:rsidR="0056267B" w:rsidRPr="003A01DF">
              <w:rPr>
                <w:rFonts w:ascii="Times New Roman" w:eastAsia="Times New Roman" w:hAnsi="Times New Roman" w:cs="Times New Roman"/>
                <w:iCs/>
                <w:sz w:val="24"/>
                <w:szCs w:val="24"/>
                <w:lang w:eastAsia="lv-LV"/>
              </w:rPr>
              <w:t>maksājumu veikšanu</w:t>
            </w:r>
            <w:r w:rsidR="002C099B" w:rsidRPr="003A01DF">
              <w:rPr>
                <w:rFonts w:ascii="Times New Roman" w:eastAsia="Times New Roman" w:hAnsi="Times New Roman" w:cs="Times New Roman"/>
                <w:iCs/>
                <w:sz w:val="24"/>
                <w:szCs w:val="24"/>
                <w:lang w:eastAsia="lv-LV"/>
              </w:rPr>
              <w:t>, Aizsardzības ministrija, pārskatot kārtējā gadā plānoto budžeta līdzekļu apguvi, veiks nepieciešamo līdzekļu pārdali tai piešķirtās apropriācijas ietvaros</w:t>
            </w:r>
            <w:r w:rsidR="00DD2034" w:rsidRPr="003A01DF">
              <w:rPr>
                <w:rFonts w:ascii="Times New Roman" w:eastAsia="Times New Roman" w:hAnsi="Times New Roman" w:cs="Times New Roman"/>
                <w:iCs/>
                <w:sz w:val="24"/>
                <w:szCs w:val="24"/>
                <w:lang w:eastAsia="lv-LV"/>
              </w:rPr>
              <w:t xml:space="preserve">, </w:t>
            </w:r>
            <w:r w:rsidR="00D83CD7" w:rsidRPr="003A01DF">
              <w:rPr>
                <w:rFonts w:ascii="Times New Roman" w:eastAsia="Times New Roman" w:hAnsi="Times New Roman" w:cs="Times New Roman"/>
                <w:iCs/>
                <w:sz w:val="24"/>
                <w:szCs w:val="24"/>
                <w:lang w:eastAsia="lv-LV"/>
              </w:rPr>
              <w:t xml:space="preserve">izņemot gadījumus, kas iestājušies Ministru kabineta </w:t>
            </w:r>
            <w:r w:rsidR="00067FC2" w:rsidRPr="003A01DF">
              <w:rPr>
                <w:rFonts w:ascii="Times New Roman" w:eastAsia="Times New Roman" w:hAnsi="Times New Roman" w:cs="Times New Roman"/>
                <w:iCs/>
                <w:sz w:val="24"/>
                <w:szCs w:val="24"/>
                <w:lang w:eastAsia="lv-LV"/>
              </w:rPr>
              <w:t>iz</w:t>
            </w:r>
            <w:r w:rsidR="00D83CD7" w:rsidRPr="003A01DF">
              <w:rPr>
                <w:rFonts w:ascii="Times New Roman" w:eastAsia="Times New Roman" w:hAnsi="Times New Roman" w:cs="Times New Roman"/>
                <w:iCs/>
                <w:sz w:val="24"/>
                <w:szCs w:val="24"/>
                <w:lang w:eastAsia="lv-LV"/>
              </w:rPr>
              <w:t>sludinātās ārkārt</w:t>
            </w:r>
            <w:r w:rsidR="00067FC2" w:rsidRPr="003A01DF">
              <w:rPr>
                <w:rFonts w:ascii="Times New Roman" w:eastAsia="Times New Roman" w:hAnsi="Times New Roman" w:cs="Times New Roman"/>
                <w:iCs/>
                <w:sz w:val="24"/>
                <w:szCs w:val="24"/>
                <w:lang w:eastAsia="lv-LV"/>
              </w:rPr>
              <w:t>ējās</w:t>
            </w:r>
            <w:r w:rsidR="00D83CD7" w:rsidRPr="003A01DF">
              <w:rPr>
                <w:rFonts w:ascii="Times New Roman" w:eastAsia="Times New Roman" w:hAnsi="Times New Roman" w:cs="Times New Roman"/>
                <w:iCs/>
                <w:sz w:val="24"/>
                <w:szCs w:val="24"/>
                <w:lang w:eastAsia="lv-LV"/>
              </w:rPr>
              <w:t xml:space="preserve"> situācijas </w:t>
            </w:r>
            <w:r w:rsidR="00067FC2" w:rsidRPr="003A01DF">
              <w:rPr>
                <w:rFonts w:ascii="Times New Roman" w:eastAsia="Times New Roman" w:hAnsi="Times New Roman" w:cs="Times New Roman"/>
                <w:iCs/>
                <w:sz w:val="24"/>
                <w:szCs w:val="24"/>
                <w:lang w:eastAsia="lv-LV"/>
              </w:rPr>
              <w:t xml:space="preserve">vai izņēmuma stāvokļa </w:t>
            </w:r>
            <w:r w:rsidR="00D83CD7" w:rsidRPr="003A01DF">
              <w:rPr>
                <w:rFonts w:ascii="Times New Roman" w:eastAsia="Times New Roman" w:hAnsi="Times New Roman" w:cs="Times New Roman"/>
                <w:iCs/>
                <w:sz w:val="24"/>
                <w:szCs w:val="24"/>
                <w:lang w:eastAsia="lv-LV"/>
              </w:rPr>
              <w:t xml:space="preserve">laikā. </w:t>
            </w:r>
          </w:p>
        </w:tc>
      </w:tr>
      <w:tr w:rsidR="0001268A" w:rsidRPr="003A01DF" w14:paraId="3B43D528" w14:textId="77777777" w:rsidTr="00B27ED2">
        <w:tblPrEx>
          <w:tblCellSpacing w:w="0" w:type="nil"/>
          <w:tblBorders>
            <w:top w:val="outset" w:sz="6" w:space="0" w:color="414142"/>
            <w:left w:val="outset" w:sz="6" w:space="0" w:color="414142"/>
            <w:bottom w:val="outset" w:sz="6" w:space="0" w:color="414142"/>
            <w:right w:val="outset" w:sz="6" w:space="0" w:color="414142"/>
          </w:tblBorders>
        </w:tblPrEx>
        <w:trPr>
          <w:gridAfter w:val="1"/>
          <w:wAfter w:w="13" w:type="pct"/>
          <w:trHeight w:val="21"/>
        </w:trPr>
        <w:tc>
          <w:tcPr>
            <w:tcW w:w="4940" w:type="pct"/>
            <w:gridSpan w:val="8"/>
            <w:tcBorders>
              <w:top w:val="outset" w:sz="6" w:space="0" w:color="414142"/>
              <w:left w:val="nil"/>
              <w:bottom w:val="single" w:sz="6" w:space="0" w:color="auto"/>
              <w:right w:val="nil"/>
            </w:tcBorders>
          </w:tcPr>
          <w:p w14:paraId="7A877FEE" w14:textId="26F765D1" w:rsidR="00B27ED2" w:rsidRPr="003A01DF" w:rsidRDefault="00B27ED2" w:rsidP="003916FB">
            <w:pPr>
              <w:spacing w:after="0" w:line="240" w:lineRule="auto"/>
              <w:rPr>
                <w:rFonts w:ascii="Times New Roman" w:eastAsia="Times New Roman" w:hAnsi="Times New Roman" w:cs="Times New Roman"/>
                <w:sz w:val="24"/>
                <w:szCs w:val="24"/>
                <w:lang w:eastAsia="lv-LV"/>
              </w:rPr>
            </w:pPr>
          </w:p>
        </w:tc>
      </w:tr>
    </w:tbl>
    <w:p w14:paraId="7BCDE62D" w14:textId="0F8D8B9C" w:rsidR="00EC69BF" w:rsidRDefault="00EC69BF" w:rsidP="007B3532">
      <w:pPr>
        <w:pStyle w:val="naiskr"/>
        <w:tabs>
          <w:tab w:val="left" w:pos="2628"/>
        </w:tabs>
        <w:spacing w:before="0" w:after="0"/>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15"/>
        <w:gridCol w:w="3261"/>
        <w:gridCol w:w="5747"/>
      </w:tblGrid>
      <w:tr w:rsidR="00B27ED2" w:rsidRPr="00B27ED2" w14:paraId="19C77D3B" w14:textId="77777777" w:rsidTr="00B27E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7BF088" w14:textId="77777777" w:rsidR="00B27ED2" w:rsidRPr="00B27ED2" w:rsidRDefault="00B27ED2" w:rsidP="00B27ED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27ED2">
              <w:rPr>
                <w:rFonts w:ascii="Times New Roman" w:eastAsia="Times New Roman" w:hAnsi="Times New Roman" w:cs="Times New Roman"/>
                <w:b/>
                <w:bCs/>
                <w:sz w:val="24"/>
                <w:szCs w:val="24"/>
                <w:lang w:eastAsia="lv-LV"/>
              </w:rPr>
              <w:t>IV. Tiesību akta projekta ietekme uz spēkā esošo tiesību normu sistēmu</w:t>
            </w:r>
          </w:p>
        </w:tc>
      </w:tr>
      <w:tr w:rsidR="00B27ED2" w:rsidRPr="00B27ED2" w14:paraId="0E731EB2" w14:textId="77777777" w:rsidTr="00B27E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1C0286" w14:textId="77777777" w:rsidR="00B27ED2" w:rsidRPr="00B27ED2" w:rsidRDefault="00B27ED2" w:rsidP="00B27ED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27ED2">
              <w:rPr>
                <w:rFonts w:ascii="Times New Roman" w:eastAsia="Times New Roman" w:hAnsi="Times New Roman" w:cs="Times New Roman"/>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E998A18" w14:textId="77777777" w:rsidR="00B27ED2" w:rsidRPr="00B27ED2" w:rsidRDefault="00B27ED2" w:rsidP="00B27ED2">
            <w:pPr>
              <w:spacing w:after="0" w:line="240" w:lineRule="auto"/>
              <w:rPr>
                <w:rFonts w:ascii="Times New Roman" w:eastAsia="Times New Roman" w:hAnsi="Times New Roman" w:cs="Times New Roman"/>
                <w:sz w:val="24"/>
                <w:szCs w:val="24"/>
                <w:lang w:eastAsia="lv-LV"/>
              </w:rPr>
            </w:pPr>
            <w:r w:rsidRPr="00B27ED2">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AAF86F6" w14:textId="0487A9AB" w:rsidR="002C1BE4" w:rsidRDefault="002C1BE4" w:rsidP="002C1BE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Likumprojekts “Grozījumi Ceļu satiksmes likumā” (Nr. 967/ Lp.13),</w:t>
            </w:r>
            <w:r>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kas izskatīts Saeimas pirmajā lasījumā.</w:t>
            </w:r>
          </w:p>
          <w:p w14:paraId="1353BC7F" w14:textId="61E3C954" w:rsidR="00B27ED2" w:rsidRPr="00B27ED2" w:rsidRDefault="00B27ED2" w:rsidP="00B27ED2">
            <w:pPr>
              <w:spacing w:after="0" w:line="240" w:lineRule="auto"/>
              <w:rPr>
                <w:rFonts w:ascii="Times New Roman" w:eastAsia="Times New Roman" w:hAnsi="Times New Roman" w:cs="Times New Roman"/>
                <w:sz w:val="24"/>
                <w:szCs w:val="24"/>
                <w:highlight w:val="yellow"/>
                <w:lang w:eastAsia="lv-LV"/>
              </w:rPr>
            </w:pPr>
          </w:p>
        </w:tc>
      </w:tr>
      <w:tr w:rsidR="00B27ED2" w:rsidRPr="00B27ED2" w14:paraId="27F3AE66" w14:textId="77777777" w:rsidTr="00B27E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D3BDF" w14:textId="77777777" w:rsidR="00B27ED2" w:rsidRPr="00B27ED2" w:rsidRDefault="00B27ED2" w:rsidP="00B27ED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27ED2">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9ED679" w14:textId="77777777" w:rsidR="00B27ED2" w:rsidRPr="002C1BE4" w:rsidRDefault="00B27ED2" w:rsidP="00B27ED2">
            <w:pPr>
              <w:spacing w:after="0" w:line="240" w:lineRule="auto"/>
              <w:rPr>
                <w:rFonts w:ascii="Times New Roman" w:eastAsia="Times New Roman" w:hAnsi="Times New Roman" w:cs="Times New Roman"/>
                <w:sz w:val="24"/>
                <w:szCs w:val="24"/>
                <w:lang w:eastAsia="lv-LV"/>
              </w:rPr>
            </w:pPr>
            <w:r w:rsidRPr="002C1BE4">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6968832" w14:textId="492C2582" w:rsidR="00B27ED2" w:rsidRPr="002C1BE4" w:rsidRDefault="002C1BE4" w:rsidP="00B27ED2">
            <w:pPr>
              <w:spacing w:after="0" w:line="240" w:lineRule="auto"/>
              <w:rPr>
                <w:rFonts w:ascii="Times New Roman" w:eastAsia="Times New Roman" w:hAnsi="Times New Roman" w:cs="Times New Roman"/>
                <w:sz w:val="24"/>
                <w:szCs w:val="24"/>
                <w:lang w:eastAsia="lv-LV"/>
              </w:rPr>
            </w:pPr>
            <w:r w:rsidRPr="002C1BE4">
              <w:rPr>
                <w:rFonts w:ascii="Times New Roman" w:eastAsia="Times New Roman" w:hAnsi="Times New Roman" w:cs="Times New Roman"/>
                <w:sz w:val="24"/>
                <w:szCs w:val="24"/>
                <w:lang w:eastAsia="lv-LV"/>
              </w:rPr>
              <w:t>Aizsardzības ministrija.</w:t>
            </w:r>
          </w:p>
        </w:tc>
      </w:tr>
      <w:tr w:rsidR="00B27ED2" w:rsidRPr="00B27ED2" w14:paraId="538EC2CD" w14:textId="77777777" w:rsidTr="00B27E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6366D" w14:textId="77777777" w:rsidR="00B27ED2" w:rsidRPr="00B27ED2" w:rsidRDefault="00B27ED2" w:rsidP="00B27ED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27ED2">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12D65B" w14:textId="77777777" w:rsidR="00B27ED2" w:rsidRPr="002C1BE4" w:rsidRDefault="00B27ED2" w:rsidP="00B27ED2">
            <w:pPr>
              <w:spacing w:after="0" w:line="240" w:lineRule="auto"/>
              <w:rPr>
                <w:rFonts w:ascii="Times New Roman" w:eastAsia="Times New Roman" w:hAnsi="Times New Roman" w:cs="Times New Roman"/>
                <w:sz w:val="24"/>
                <w:szCs w:val="24"/>
                <w:lang w:eastAsia="lv-LV"/>
              </w:rPr>
            </w:pPr>
            <w:r w:rsidRPr="002C1BE4">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B623F8" w14:textId="419DB7E5" w:rsidR="00B27ED2" w:rsidRPr="002C1BE4" w:rsidRDefault="002C1BE4" w:rsidP="00B27ED2">
            <w:pPr>
              <w:spacing w:after="0" w:line="240" w:lineRule="auto"/>
              <w:rPr>
                <w:rFonts w:ascii="Times New Roman" w:eastAsia="Times New Roman" w:hAnsi="Times New Roman" w:cs="Times New Roman"/>
                <w:sz w:val="24"/>
                <w:szCs w:val="24"/>
                <w:lang w:eastAsia="lv-LV"/>
              </w:rPr>
            </w:pPr>
            <w:r w:rsidRPr="002C1BE4">
              <w:rPr>
                <w:rFonts w:ascii="Times New Roman" w:eastAsia="Times New Roman" w:hAnsi="Times New Roman" w:cs="Times New Roman"/>
                <w:sz w:val="24"/>
                <w:szCs w:val="24"/>
                <w:lang w:eastAsia="lv-LV"/>
              </w:rPr>
              <w:t>Nav.</w:t>
            </w:r>
          </w:p>
        </w:tc>
      </w:tr>
    </w:tbl>
    <w:p w14:paraId="4431976B" w14:textId="12F2D5F0" w:rsidR="00B27ED2" w:rsidRDefault="00B27ED2" w:rsidP="007B3532">
      <w:pPr>
        <w:pStyle w:val="naiskr"/>
        <w:tabs>
          <w:tab w:val="left" w:pos="2628"/>
        </w:tabs>
        <w:spacing w:before="0" w:after="0"/>
        <w:rPr>
          <w:iCs/>
        </w:rPr>
      </w:pPr>
    </w:p>
    <w:p w14:paraId="09061063" w14:textId="77777777" w:rsidR="00B27ED2" w:rsidRPr="003A01DF" w:rsidRDefault="00B27ED2" w:rsidP="007B3532">
      <w:pPr>
        <w:pStyle w:val="naiskr"/>
        <w:tabs>
          <w:tab w:val="left" w:pos="2628"/>
        </w:tabs>
        <w:spacing w:before="0" w:after="0"/>
        <w:rPr>
          <w:iCs/>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71"/>
        <w:gridCol w:w="6139"/>
      </w:tblGrid>
      <w:tr w:rsidR="0001268A" w:rsidRPr="003A01DF" w14:paraId="1D286CF5" w14:textId="77777777" w:rsidTr="00AC733B">
        <w:trPr>
          <w:jc w:val="center"/>
        </w:trPr>
        <w:tc>
          <w:tcPr>
            <w:tcW w:w="9327" w:type="dxa"/>
            <w:gridSpan w:val="3"/>
          </w:tcPr>
          <w:p w14:paraId="275258E1" w14:textId="77777777" w:rsidR="007B3532" w:rsidRPr="003A01DF" w:rsidRDefault="007B3532" w:rsidP="007B3532">
            <w:pPr>
              <w:pStyle w:val="naisnod"/>
              <w:spacing w:before="0" w:after="0"/>
              <w:jc w:val="both"/>
            </w:pPr>
            <w:r w:rsidRPr="003A01DF">
              <w:t>V. Tiesību akta projekta atbilstība Latvijas Republikas starptautiskajām saistībām</w:t>
            </w:r>
          </w:p>
        </w:tc>
      </w:tr>
      <w:tr w:rsidR="0001268A" w:rsidRPr="003A01DF" w14:paraId="2EEC2CD6" w14:textId="77777777" w:rsidTr="00AC733B">
        <w:trPr>
          <w:trHeight w:val="1544"/>
          <w:jc w:val="center"/>
        </w:trPr>
        <w:tc>
          <w:tcPr>
            <w:tcW w:w="417" w:type="dxa"/>
          </w:tcPr>
          <w:p w14:paraId="32E8B5D7" w14:textId="77777777" w:rsidR="007B3532" w:rsidRPr="003A01DF" w:rsidRDefault="007B3532" w:rsidP="007B3532">
            <w:pPr>
              <w:pStyle w:val="naiskr"/>
              <w:tabs>
                <w:tab w:val="left" w:pos="2628"/>
              </w:tabs>
              <w:spacing w:before="0" w:after="0"/>
              <w:jc w:val="center"/>
              <w:rPr>
                <w:iCs/>
              </w:rPr>
            </w:pPr>
            <w:r w:rsidRPr="003A01DF">
              <w:rPr>
                <w:iCs/>
              </w:rPr>
              <w:t>1.</w:t>
            </w:r>
          </w:p>
        </w:tc>
        <w:tc>
          <w:tcPr>
            <w:tcW w:w="2771" w:type="dxa"/>
          </w:tcPr>
          <w:p w14:paraId="71A2D8FB" w14:textId="77777777" w:rsidR="007B3532" w:rsidRPr="003A01DF" w:rsidRDefault="007B3532" w:rsidP="007B3532">
            <w:pPr>
              <w:pStyle w:val="naiskr"/>
              <w:tabs>
                <w:tab w:val="left" w:pos="2628"/>
              </w:tabs>
              <w:spacing w:before="0" w:after="0"/>
              <w:jc w:val="both"/>
            </w:pPr>
            <w:r w:rsidRPr="003A01DF">
              <w:t>Saistības pret Eiropas Savienību</w:t>
            </w:r>
          </w:p>
          <w:p w14:paraId="4C857BF9" w14:textId="77777777" w:rsidR="000E3403" w:rsidRPr="003A01DF" w:rsidRDefault="000E3403" w:rsidP="007B3532">
            <w:pPr>
              <w:pStyle w:val="naiskr"/>
              <w:tabs>
                <w:tab w:val="left" w:pos="2628"/>
              </w:tabs>
              <w:spacing w:before="0" w:after="0"/>
              <w:jc w:val="both"/>
            </w:pPr>
          </w:p>
          <w:p w14:paraId="2494D3D8" w14:textId="3BF8A2AC" w:rsidR="000E3403" w:rsidRPr="003A01DF" w:rsidRDefault="000E3403" w:rsidP="00385D65">
            <w:pPr>
              <w:pStyle w:val="labojumupamats"/>
              <w:rPr>
                <w:iCs/>
              </w:rPr>
            </w:pPr>
          </w:p>
        </w:tc>
        <w:tc>
          <w:tcPr>
            <w:tcW w:w="6139" w:type="dxa"/>
          </w:tcPr>
          <w:p w14:paraId="21FB0697" w14:textId="132E9AAF" w:rsidR="00AC733B" w:rsidRPr="003A01DF" w:rsidRDefault="00B5315A" w:rsidP="00AC733B">
            <w:pPr>
              <w:spacing w:after="120"/>
              <w:ind w:firstLine="530"/>
              <w:jc w:val="both"/>
              <w:rPr>
                <w:rFonts w:ascii="Times New Roman" w:hAnsi="Times New Roman" w:cs="Times New Roman"/>
                <w:bCs/>
                <w:sz w:val="24"/>
                <w:szCs w:val="24"/>
              </w:rPr>
            </w:pPr>
            <w:r>
              <w:rPr>
                <w:rFonts w:ascii="Times New Roman" w:hAnsi="Times New Roman" w:cs="Times New Roman"/>
                <w:bCs/>
                <w:sz w:val="24"/>
                <w:szCs w:val="24"/>
              </w:rPr>
              <w:t>Direktīvas</w:t>
            </w:r>
            <w:r w:rsidR="00E255C6" w:rsidRPr="003A01DF">
              <w:rPr>
                <w:rFonts w:ascii="Times New Roman" w:hAnsi="Times New Roman" w:cs="Times New Roman"/>
                <w:bCs/>
                <w:sz w:val="24"/>
                <w:szCs w:val="24"/>
              </w:rPr>
              <w:t xml:space="preserve"> </w:t>
            </w:r>
            <w:r w:rsidR="000E3403" w:rsidRPr="003A01DF">
              <w:rPr>
                <w:rFonts w:ascii="Times New Roman" w:hAnsi="Times New Roman" w:cs="Times New Roman"/>
                <w:bCs/>
                <w:sz w:val="24"/>
                <w:szCs w:val="24"/>
              </w:rPr>
              <w:t>3</w:t>
            </w:r>
            <w:r w:rsidR="00E255C6" w:rsidRPr="003A01DF">
              <w:rPr>
                <w:rFonts w:ascii="Times New Roman" w:hAnsi="Times New Roman" w:cs="Times New Roman"/>
                <w:bCs/>
                <w:sz w:val="24"/>
                <w:szCs w:val="24"/>
              </w:rPr>
              <w:t>. pant</w:t>
            </w:r>
            <w:r w:rsidR="000E3403" w:rsidRPr="003A01DF">
              <w:rPr>
                <w:rFonts w:ascii="Times New Roman" w:hAnsi="Times New Roman" w:cs="Times New Roman"/>
                <w:bCs/>
                <w:sz w:val="24"/>
                <w:szCs w:val="24"/>
              </w:rPr>
              <w:t>s</w:t>
            </w:r>
            <w:r w:rsidR="00E255C6" w:rsidRPr="003A01DF">
              <w:rPr>
                <w:rFonts w:ascii="Times New Roman" w:hAnsi="Times New Roman" w:cs="Times New Roman"/>
                <w:bCs/>
                <w:sz w:val="24"/>
                <w:szCs w:val="24"/>
              </w:rPr>
              <w:t xml:space="preserve"> </w:t>
            </w:r>
            <w:r w:rsidR="000E3403" w:rsidRPr="003A01DF">
              <w:rPr>
                <w:rFonts w:ascii="Times New Roman" w:hAnsi="Times New Roman" w:cs="Times New Roman"/>
                <w:bCs/>
                <w:sz w:val="24"/>
                <w:szCs w:val="24"/>
              </w:rPr>
              <w:t>nosaka, ka katra dalībvalsts, ievērojot 5. pantu, veic visus vajadzīgus pasākumus, lai nodrošinātu, ka civiltiesiskā atbildība par to transportlīdzekļu lietošanu, kas parasti atrodas tās teritorijā, ir apdrošināta. Savukārt Direktīvas 5. pant</w:t>
            </w:r>
            <w:r w:rsidR="008A1EC0" w:rsidRPr="003A01DF">
              <w:rPr>
                <w:rFonts w:ascii="Times New Roman" w:hAnsi="Times New Roman" w:cs="Times New Roman"/>
                <w:bCs/>
                <w:sz w:val="24"/>
                <w:szCs w:val="24"/>
              </w:rPr>
              <w:t>a 2.</w:t>
            </w:r>
            <w:r w:rsidR="0056267B" w:rsidRPr="003A01DF">
              <w:rPr>
                <w:rFonts w:ascii="Times New Roman" w:hAnsi="Times New Roman" w:cs="Times New Roman"/>
                <w:bCs/>
                <w:sz w:val="24"/>
                <w:szCs w:val="24"/>
              </w:rPr>
              <w:t xml:space="preserve"> </w:t>
            </w:r>
            <w:r w:rsidR="008A1EC0" w:rsidRPr="003A01DF">
              <w:rPr>
                <w:rFonts w:ascii="Times New Roman" w:hAnsi="Times New Roman" w:cs="Times New Roman"/>
                <w:bCs/>
                <w:sz w:val="24"/>
                <w:szCs w:val="24"/>
              </w:rPr>
              <w:t xml:space="preserve">punkts </w:t>
            </w:r>
            <w:r w:rsidR="000E3403" w:rsidRPr="003A01DF">
              <w:rPr>
                <w:rFonts w:ascii="Times New Roman" w:hAnsi="Times New Roman" w:cs="Times New Roman"/>
                <w:bCs/>
                <w:sz w:val="24"/>
                <w:szCs w:val="24"/>
              </w:rPr>
              <w:t>paredz dalībvalsts rīcības brīvību atkāpties no 3. panta noteikumiem attiecībā uz dažu veidu transportlīdzekļiem, informējot par to Eiropas Komisiju un pārējās dalībvalstis.</w:t>
            </w:r>
            <w:r w:rsidR="002926AC" w:rsidRPr="003A01DF">
              <w:rPr>
                <w:rFonts w:ascii="Times New Roman" w:hAnsi="Times New Roman" w:cs="Times New Roman"/>
                <w:bCs/>
                <w:sz w:val="24"/>
                <w:szCs w:val="24"/>
              </w:rPr>
              <w:t xml:space="preserve"> </w:t>
            </w:r>
          </w:p>
          <w:p w14:paraId="3645CD92" w14:textId="4C4B259B" w:rsidR="007B3532" w:rsidRPr="003A01DF" w:rsidRDefault="000E3403" w:rsidP="00B6656A">
            <w:pPr>
              <w:spacing w:after="120"/>
              <w:jc w:val="both"/>
              <w:rPr>
                <w:rFonts w:ascii="Times New Roman" w:hAnsi="Times New Roman" w:cs="Times New Roman"/>
                <w:bCs/>
                <w:sz w:val="24"/>
                <w:szCs w:val="24"/>
              </w:rPr>
            </w:pPr>
            <w:r w:rsidRPr="003A01DF">
              <w:rPr>
                <w:rFonts w:ascii="Times New Roman" w:eastAsia="Times New Roman" w:hAnsi="Times New Roman" w:cs="Times New Roman"/>
                <w:iCs/>
                <w:sz w:val="24"/>
                <w:szCs w:val="24"/>
                <w:lang w:eastAsia="lv-LV"/>
              </w:rPr>
              <w:t xml:space="preserve">Latvija atbilstoši </w:t>
            </w:r>
            <w:r w:rsidRPr="003A01DF">
              <w:rPr>
                <w:rFonts w:ascii="Times New Roman" w:hAnsi="Times New Roman" w:cs="Times New Roman"/>
                <w:bCs/>
                <w:sz w:val="24"/>
                <w:szCs w:val="24"/>
              </w:rPr>
              <w:t xml:space="preserve">Direktīvas 5. panta </w:t>
            </w:r>
            <w:r w:rsidR="008A1EC0" w:rsidRPr="003A01DF">
              <w:rPr>
                <w:rFonts w:ascii="Times New Roman" w:hAnsi="Times New Roman" w:cs="Times New Roman"/>
                <w:bCs/>
                <w:sz w:val="24"/>
                <w:szCs w:val="24"/>
              </w:rPr>
              <w:t>2</w:t>
            </w:r>
            <w:r w:rsidR="00B6656A" w:rsidRPr="003A01DF">
              <w:rPr>
                <w:rFonts w:ascii="Times New Roman" w:hAnsi="Times New Roman" w:cs="Times New Roman"/>
                <w:bCs/>
                <w:sz w:val="24"/>
                <w:szCs w:val="24"/>
              </w:rPr>
              <w:t>.</w:t>
            </w:r>
            <w:r w:rsidR="0056267B" w:rsidRPr="003A01DF">
              <w:rPr>
                <w:rFonts w:ascii="Times New Roman" w:hAnsi="Times New Roman" w:cs="Times New Roman"/>
                <w:bCs/>
                <w:sz w:val="24"/>
                <w:szCs w:val="24"/>
              </w:rPr>
              <w:t xml:space="preserve"> </w:t>
            </w:r>
            <w:r w:rsidR="00B6656A" w:rsidRPr="003A01DF">
              <w:rPr>
                <w:rFonts w:ascii="Times New Roman" w:hAnsi="Times New Roman" w:cs="Times New Roman"/>
                <w:bCs/>
                <w:sz w:val="24"/>
                <w:szCs w:val="24"/>
              </w:rPr>
              <w:t>punktam</w:t>
            </w:r>
            <w:r w:rsidRPr="003A01DF">
              <w:rPr>
                <w:rFonts w:ascii="Times New Roman" w:hAnsi="Times New Roman" w:cs="Times New Roman"/>
                <w:bCs/>
                <w:sz w:val="24"/>
                <w:szCs w:val="24"/>
              </w:rPr>
              <w:t xml:space="preserve"> </w:t>
            </w:r>
            <w:r w:rsidRPr="003A01DF">
              <w:rPr>
                <w:rFonts w:ascii="Times New Roman" w:hAnsi="Times New Roman" w:cs="Times New Roman"/>
                <w:sz w:val="24"/>
                <w:szCs w:val="24"/>
              </w:rPr>
              <w:t xml:space="preserve">paziņos Eiropas Komisijai </w:t>
            </w:r>
            <w:r w:rsidR="00133A03" w:rsidRPr="003A01DF">
              <w:rPr>
                <w:rFonts w:ascii="Times New Roman" w:hAnsi="Times New Roman" w:cs="Times New Roman"/>
                <w:sz w:val="24"/>
                <w:szCs w:val="24"/>
              </w:rPr>
              <w:t xml:space="preserve">un dalībvalstīm </w:t>
            </w:r>
            <w:r w:rsidRPr="003A01DF">
              <w:rPr>
                <w:rFonts w:ascii="Times New Roman" w:hAnsi="Times New Roman" w:cs="Times New Roman"/>
                <w:sz w:val="24"/>
                <w:szCs w:val="24"/>
              </w:rPr>
              <w:t>par atkāpi no speciālās militārās tehnikas</w:t>
            </w:r>
            <w:r w:rsidR="009A7717">
              <w:rPr>
                <w:rFonts w:ascii="Times New Roman" w:hAnsi="Times New Roman" w:cs="Times New Roman"/>
                <w:sz w:val="24"/>
                <w:szCs w:val="24"/>
              </w:rPr>
              <w:t xml:space="preserve"> piekabes</w:t>
            </w:r>
            <w:r w:rsidRPr="003A01DF">
              <w:rPr>
                <w:rFonts w:ascii="Times New Roman" w:hAnsi="Times New Roman" w:cs="Times New Roman"/>
                <w:sz w:val="24"/>
                <w:szCs w:val="24"/>
              </w:rPr>
              <w:t xml:space="preserve"> apdrošināšanas, izdarot attiecīgu ierakstu Valsts izpildes pasākumu paziņošanas sistēmā.</w:t>
            </w:r>
          </w:p>
        </w:tc>
      </w:tr>
      <w:tr w:rsidR="0001268A" w:rsidRPr="003A01DF" w14:paraId="0D9B1BB5" w14:textId="77777777" w:rsidTr="00AC733B">
        <w:trPr>
          <w:jc w:val="center"/>
        </w:trPr>
        <w:tc>
          <w:tcPr>
            <w:tcW w:w="417" w:type="dxa"/>
          </w:tcPr>
          <w:p w14:paraId="3580DC91" w14:textId="77777777" w:rsidR="007B3532" w:rsidRPr="003A01DF" w:rsidRDefault="007B3532" w:rsidP="007B3532">
            <w:pPr>
              <w:pStyle w:val="naiskr"/>
              <w:tabs>
                <w:tab w:val="left" w:pos="2628"/>
              </w:tabs>
              <w:spacing w:before="0" w:after="0"/>
              <w:jc w:val="center"/>
              <w:rPr>
                <w:iCs/>
              </w:rPr>
            </w:pPr>
            <w:r w:rsidRPr="003A01DF">
              <w:rPr>
                <w:iCs/>
              </w:rPr>
              <w:t>2.</w:t>
            </w:r>
          </w:p>
        </w:tc>
        <w:tc>
          <w:tcPr>
            <w:tcW w:w="2771" w:type="dxa"/>
          </w:tcPr>
          <w:p w14:paraId="2B9A83D0" w14:textId="359DCCB5" w:rsidR="007B3532" w:rsidRPr="00E55FDA" w:rsidRDefault="007B3532" w:rsidP="00E55FDA">
            <w:pPr>
              <w:pStyle w:val="naiskr"/>
              <w:tabs>
                <w:tab w:val="left" w:pos="2628"/>
              </w:tabs>
              <w:spacing w:before="0" w:after="0"/>
              <w:jc w:val="both"/>
              <w:rPr>
                <w:iCs/>
              </w:rPr>
            </w:pPr>
            <w:r w:rsidRPr="00E55FDA">
              <w:t>Citas starptautisk</w:t>
            </w:r>
            <w:r w:rsidR="00E55FDA">
              <w:t>a</w:t>
            </w:r>
            <w:r w:rsidRPr="00E55FDA">
              <w:t>s saistības</w:t>
            </w:r>
          </w:p>
        </w:tc>
        <w:tc>
          <w:tcPr>
            <w:tcW w:w="6139" w:type="dxa"/>
          </w:tcPr>
          <w:p w14:paraId="61BF93EF" w14:textId="506BCFAF" w:rsidR="007B3532" w:rsidRPr="00E55FDA" w:rsidRDefault="00705D1D" w:rsidP="00705D1D">
            <w:pPr>
              <w:ind w:firstLine="388"/>
              <w:jc w:val="both"/>
              <w:rPr>
                <w:rFonts w:ascii="Times New Roman" w:hAnsi="Times New Roman" w:cs="Times New Roman"/>
                <w:iCs/>
                <w:sz w:val="24"/>
                <w:szCs w:val="24"/>
              </w:rPr>
            </w:pPr>
            <w:r w:rsidRPr="00E55FDA">
              <w:rPr>
                <w:rFonts w:ascii="Times New Roman" w:hAnsi="Times New Roman" w:cs="Times New Roman"/>
                <w:iCs/>
                <w:sz w:val="24"/>
                <w:szCs w:val="24"/>
              </w:rPr>
              <w:t>Ar</w:t>
            </w:r>
            <w:r w:rsidR="00FC3182" w:rsidRPr="00E55FDA">
              <w:rPr>
                <w:rFonts w:ascii="Times New Roman" w:hAnsi="Times New Roman" w:cs="Times New Roman"/>
                <w:iCs/>
                <w:sz w:val="24"/>
                <w:szCs w:val="24"/>
              </w:rPr>
              <w:t xml:space="preserve"> likumprojektu netiek pārņemtas </w:t>
            </w:r>
            <w:r w:rsidR="00E55FDA" w:rsidRPr="00E55FDA">
              <w:rPr>
                <w:rFonts w:ascii="Times New Roman" w:hAnsi="Times New Roman" w:cs="Times New Roman"/>
                <w:iCs/>
                <w:sz w:val="24"/>
                <w:szCs w:val="24"/>
              </w:rPr>
              <w:t>citas starptautiskas saistības</w:t>
            </w:r>
            <w:r w:rsidR="00FC3182" w:rsidRPr="00E55FDA">
              <w:rPr>
                <w:rFonts w:ascii="Times New Roman" w:hAnsi="Times New Roman" w:cs="Times New Roman"/>
                <w:iCs/>
                <w:sz w:val="24"/>
                <w:szCs w:val="24"/>
              </w:rPr>
              <w:t>.</w:t>
            </w:r>
          </w:p>
        </w:tc>
      </w:tr>
      <w:tr w:rsidR="007B3532" w:rsidRPr="003A01DF" w14:paraId="1279DBEF" w14:textId="77777777" w:rsidTr="00AC733B">
        <w:trPr>
          <w:jc w:val="center"/>
        </w:trPr>
        <w:tc>
          <w:tcPr>
            <w:tcW w:w="417" w:type="dxa"/>
          </w:tcPr>
          <w:p w14:paraId="1282A71A" w14:textId="77777777" w:rsidR="007B3532" w:rsidRPr="003A01DF" w:rsidRDefault="007B3532" w:rsidP="007B3532">
            <w:pPr>
              <w:pStyle w:val="naiskr"/>
              <w:tabs>
                <w:tab w:val="left" w:pos="2628"/>
              </w:tabs>
              <w:spacing w:before="0" w:after="0"/>
              <w:jc w:val="center"/>
              <w:rPr>
                <w:iCs/>
              </w:rPr>
            </w:pPr>
            <w:r w:rsidRPr="003A01DF">
              <w:rPr>
                <w:iCs/>
              </w:rPr>
              <w:t>3.</w:t>
            </w:r>
          </w:p>
        </w:tc>
        <w:tc>
          <w:tcPr>
            <w:tcW w:w="2771" w:type="dxa"/>
          </w:tcPr>
          <w:p w14:paraId="236DD358" w14:textId="54B7A29F" w:rsidR="007B3532" w:rsidRPr="00E55FDA" w:rsidRDefault="007B3532" w:rsidP="007B3532">
            <w:pPr>
              <w:pStyle w:val="naiskr"/>
              <w:tabs>
                <w:tab w:val="left" w:pos="2628"/>
              </w:tabs>
              <w:spacing w:before="0" w:after="0"/>
              <w:jc w:val="both"/>
            </w:pPr>
            <w:r w:rsidRPr="00E55FDA">
              <w:t>Cita informācija</w:t>
            </w:r>
            <w:r w:rsidR="00E55FDA">
              <w:t xml:space="preserve"> </w:t>
            </w:r>
          </w:p>
          <w:p w14:paraId="39515AB3" w14:textId="20457387" w:rsidR="000E3403" w:rsidRPr="00E55FDA" w:rsidRDefault="000E3403" w:rsidP="007B3532">
            <w:pPr>
              <w:pStyle w:val="naiskr"/>
              <w:tabs>
                <w:tab w:val="left" w:pos="2628"/>
              </w:tabs>
              <w:spacing w:before="0" w:after="0"/>
              <w:jc w:val="both"/>
            </w:pPr>
          </w:p>
        </w:tc>
        <w:tc>
          <w:tcPr>
            <w:tcW w:w="6139" w:type="dxa"/>
          </w:tcPr>
          <w:p w14:paraId="01115F18" w14:textId="4971B478" w:rsidR="007B3532" w:rsidRPr="00E55FDA" w:rsidRDefault="0056267B" w:rsidP="0056267B">
            <w:pPr>
              <w:autoSpaceDE w:val="0"/>
              <w:autoSpaceDN w:val="0"/>
              <w:adjustRightInd w:val="0"/>
              <w:ind w:firstLine="388"/>
              <w:jc w:val="both"/>
              <w:rPr>
                <w:rFonts w:ascii="Times New Roman" w:hAnsi="Times New Roman" w:cs="Times New Roman"/>
                <w:iCs/>
                <w:sz w:val="24"/>
                <w:szCs w:val="24"/>
              </w:rPr>
            </w:pPr>
            <w:r w:rsidRPr="00E55FDA">
              <w:rPr>
                <w:rFonts w:ascii="Times New Roman" w:hAnsi="Times New Roman" w:cs="Times New Roman"/>
                <w:iCs/>
                <w:sz w:val="24"/>
                <w:szCs w:val="24"/>
              </w:rPr>
              <w:t>Nav.</w:t>
            </w:r>
          </w:p>
        </w:tc>
      </w:tr>
    </w:tbl>
    <w:p w14:paraId="2D09D63C" w14:textId="2EB4473A" w:rsidR="007B3532" w:rsidRPr="003A01DF" w:rsidRDefault="007B3532" w:rsidP="00364E18">
      <w:pPr>
        <w:pStyle w:val="naisf"/>
        <w:spacing w:before="0" w:after="0"/>
        <w:ind w:firstLine="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7"/>
        <w:gridCol w:w="1456"/>
        <w:gridCol w:w="7895"/>
      </w:tblGrid>
      <w:tr w:rsidR="0001268A" w:rsidRPr="003A01DF" w14:paraId="65E9C9A0" w14:textId="77777777" w:rsidTr="00E55FDA">
        <w:trPr>
          <w:gridBefore w:val="1"/>
          <w:wBefore w:w="147" w:type="dxa"/>
          <w:trHeight w:val="523"/>
          <w:jc w:val="center"/>
        </w:trPr>
        <w:tc>
          <w:tcPr>
            <w:tcW w:w="9351" w:type="dxa"/>
            <w:gridSpan w:val="2"/>
            <w:vAlign w:val="center"/>
          </w:tcPr>
          <w:p w14:paraId="6D6C8766" w14:textId="77777777" w:rsidR="007B3532" w:rsidRPr="003A01DF" w:rsidRDefault="007B3532" w:rsidP="007B3532">
            <w:pPr>
              <w:pStyle w:val="naisnod"/>
              <w:spacing w:before="0" w:after="0"/>
            </w:pPr>
            <w:r w:rsidRPr="003A01DF">
              <w:t xml:space="preserve">1. tabula </w:t>
            </w:r>
          </w:p>
          <w:p w14:paraId="77933875" w14:textId="77777777" w:rsidR="007B3532" w:rsidRPr="003A01DF" w:rsidRDefault="007B3532" w:rsidP="007B3532">
            <w:pPr>
              <w:pStyle w:val="naisnod"/>
              <w:spacing w:before="0" w:after="0"/>
              <w:rPr>
                <w:i/>
              </w:rPr>
            </w:pPr>
            <w:r w:rsidRPr="003A01DF">
              <w:t>Tiesību akta projekta atbilstība ES tiesību aktiem</w:t>
            </w:r>
          </w:p>
        </w:tc>
      </w:tr>
      <w:tr w:rsidR="0001268A" w:rsidRPr="003A01DF" w14:paraId="2442A516" w14:textId="77777777" w:rsidTr="00E55FDA">
        <w:trPr>
          <w:gridBefore w:val="1"/>
          <w:wBefore w:w="147" w:type="dxa"/>
          <w:trHeight w:val="281"/>
          <w:jc w:val="center"/>
        </w:trPr>
        <w:tc>
          <w:tcPr>
            <w:tcW w:w="1456" w:type="dxa"/>
            <w:shd w:val="clear" w:color="auto" w:fill="auto"/>
            <w:vAlign w:val="center"/>
          </w:tcPr>
          <w:p w14:paraId="47F3252D" w14:textId="77777777" w:rsidR="007B3532" w:rsidRPr="003A01DF" w:rsidRDefault="007B3532" w:rsidP="007B3532">
            <w:pPr>
              <w:pStyle w:val="naiskr"/>
              <w:spacing w:before="0" w:after="0"/>
            </w:pPr>
            <w:r w:rsidRPr="003A01DF">
              <w:t>Kā ir izmantota ES tiesību aktā paredzētā rīcības brīvība dalībvalstij pārņemt vai ieviest noteiktas ES tiesību akta normas.</w:t>
            </w:r>
          </w:p>
          <w:p w14:paraId="55E614BA" w14:textId="77777777" w:rsidR="007B3532" w:rsidRPr="003A01DF" w:rsidRDefault="007B3532" w:rsidP="007B3532">
            <w:pPr>
              <w:pStyle w:val="naiskr"/>
              <w:spacing w:before="0" w:after="0"/>
            </w:pPr>
            <w:r w:rsidRPr="003A01DF">
              <w:t>Kādēļ?</w:t>
            </w:r>
          </w:p>
        </w:tc>
        <w:tc>
          <w:tcPr>
            <w:tcW w:w="7895" w:type="dxa"/>
            <w:shd w:val="clear" w:color="auto" w:fill="auto"/>
          </w:tcPr>
          <w:p w14:paraId="5A3F2B31" w14:textId="0D05144C" w:rsidR="002926AC" w:rsidRPr="003A01DF" w:rsidRDefault="007B3532" w:rsidP="00774272">
            <w:pPr>
              <w:pStyle w:val="naiskr"/>
              <w:jc w:val="both"/>
            </w:pPr>
            <w:r w:rsidRPr="003A01DF">
              <w:t xml:space="preserve">Atbilstoši dalībvalsts izvēles tiesībām ir izdarīta izvēle </w:t>
            </w:r>
            <w:r w:rsidR="00774272" w:rsidRPr="003A01DF">
              <w:t>atteikties no iepriekš pārņemtā</w:t>
            </w:r>
            <w:r w:rsidRPr="003A01DF">
              <w:t xml:space="preserve"> </w:t>
            </w:r>
            <w:r w:rsidR="002926AC" w:rsidRPr="003A01DF">
              <w:t>Direktīvas 3. pantā noteikt</w:t>
            </w:r>
            <w:r w:rsidR="00774272" w:rsidRPr="003A01DF">
              <w:t>ā</w:t>
            </w:r>
            <w:r w:rsidR="002926AC" w:rsidRPr="003A01DF">
              <w:t xml:space="preserve"> pienākum</w:t>
            </w:r>
            <w:r w:rsidR="00774272" w:rsidRPr="003A01DF">
              <w:t>a</w:t>
            </w:r>
            <w:r w:rsidR="002926AC" w:rsidRPr="003A01DF">
              <w:t xml:space="preserve"> </w:t>
            </w:r>
            <w:r w:rsidR="00774272" w:rsidRPr="003A01DF">
              <w:t xml:space="preserve">veikt apdrošināšanu </w:t>
            </w:r>
            <w:r w:rsidR="002926AC" w:rsidRPr="003A01DF">
              <w:t>Latvijas Nacionālo bruņoto spēku speciāl</w:t>
            </w:r>
            <w:r w:rsidR="009A7717">
              <w:t xml:space="preserve">ās </w:t>
            </w:r>
            <w:r w:rsidR="002926AC" w:rsidRPr="003A01DF">
              <w:t>militār</w:t>
            </w:r>
            <w:r w:rsidR="009A7717">
              <w:t>ās</w:t>
            </w:r>
            <w:r w:rsidR="002926AC" w:rsidRPr="003A01DF">
              <w:t xml:space="preserve"> tehnik</w:t>
            </w:r>
            <w:r w:rsidR="00774272" w:rsidRPr="003A01DF">
              <w:t>a</w:t>
            </w:r>
            <w:r w:rsidR="009A7717">
              <w:t>s piekabei</w:t>
            </w:r>
            <w:r w:rsidR="002926AC" w:rsidRPr="003A01DF">
              <w:t xml:space="preserve">. Šādu rīcības brīvību paredz Direktīvas 5. panta </w:t>
            </w:r>
            <w:r w:rsidR="002570CE" w:rsidRPr="003A01DF">
              <w:t>2.punkts</w:t>
            </w:r>
            <w:r w:rsidR="002926AC" w:rsidRPr="003A01DF">
              <w:t xml:space="preserve"> ar nosacījumu, ka dalībvalstij uz šiem transportlīdzekļiem jāpiemēro prasības kā pret transportlīdzekļiem, kuriem nav veikta apdrošināšana</w:t>
            </w:r>
            <w:r w:rsidR="00774272" w:rsidRPr="003A01DF">
              <w:t>.</w:t>
            </w:r>
          </w:p>
          <w:p w14:paraId="5C67F8CB" w14:textId="77777777" w:rsidR="002926AC" w:rsidRPr="003A01DF" w:rsidRDefault="002926AC" w:rsidP="007B3532">
            <w:pPr>
              <w:pStyle w:val="naiskr"/>
            </w:pPr>
          </w:p>
          <w:p w14:paraId="397D0EFE" w14:textId="77777777" w:rsidR="002926AC" w:rsidRPr="003A01DF" w:rsidRDefault="002926AC" w:rsidP="007B3532">
            <w:pPr>
              <w:pStyle w:val="naiskr"/>
            </w:pPr>
          </w:p>
          <w:p w14:paraId="5BE2BB92" w14:textId="5524A60C" w:rsidR="007B3532" w:rsidRPr="003A01DF" w:rsidRDefault="007B3532" w:rsidP="00774272">
            <w:pPr>
              <w:pStyle w:val="tv213"/>
            </w:pPr>
          </w:p>
        </w:tc>
      </w:tr>
      <w:tr w:rsidR="0001268A" w:rsidRPr="003A01DF" w14:paraId="5D914804" w14:textId="77777777" w:rsidTr="00E55FDA">
        <w:trPr>
          <w:trHeight w:val="913"/>
          <w:jc w:val="center"/>
        </w:trPr>
        <w:tc>
          <w:tcPr>
            <w:tcW w:w="1603" w:type="dxa"/>
            <w:gridSpan w:val="2"/>
            <w:vAlign w:val="center"/>
          </w:tcPr>
          <w:p w14:paraId="2BC3F6B0" w14:textId="77777777" w:rsidR="007B3532" w:rsidRPr="003A01DF" w:rsidRDefault="007B3532" w:rsidP="007B3532">
            <w:pPr>
              <w:pStyle w:val="naiskr"/>
              <w:spacing w:before="0" w:after="0"/>
              <w:rPr>
                <w:i/>
              </w:rPr>
            </w:pPr>
            <w:r w:rsidRPr="003A01DF">
              <w:t xml:space="preserve">Saistības sniegt paziņojumu ES institūcijām un ES dalībvalstīm atbilstoši normatīvajiem </w:t>
            </w:r>
            <w:r w:rsidRPr="003A01DF">
              <w:lastRenderedPageBreak/>
              <w:t>aktiem, kas regulē informācijas sniegšanu par tehnisko noteikumu, valsts atbalsta piešķiršanas un finanšu noteikumu (attiecībā uz monetāro politiku) projektiem</w:t>
            </w:r>
          </w:p>
        </w:tc>
        <w:tc>
          <w:tcPr>
            <w:tcW w:w="7895" w:type="dxa"/>
          </w:tcPr>
          <w:p w14:paraId="17DB9289" w14:textId="2A254233" w:rsidR="00774272" w:rsidRPr="003A01DF" w:rsidRDefault="00774272" w:rsidP="002570CE">
            <w:pPr>
              <w:pStyle w:val="naiskr"/>
              <w:spacing w:before="0" w:after="0"/>
              <w:jc w:val="both"/>
            </w:pPr>
            <w:r w:rsidRPr="003A01DF">
              <w:rPr>
                <w:iCs/>
              </w:rPr>
              <w:lastRenderedPageBreak/>
              <w:t xml:space="preserve">Dalībvalstij ir jāinformē Eiropas Komisija un dalībvalstis par Direktīvas </w:t>
            </w:r>
            <w:r w:rsidRPr="003A01DF">
              <w:rPr>
                <w:bCs/>
              </w:rPr>
              <w:t xml:space="preserve">5. panta </w:t>
            </w:r>
            <w:r w:rsidR="002570CE" w:rsidRPr="003A01DF">
              <w:rPr>
                <w:bCs/>
              </w:rPr>
              <w:t>2.punktā</w:t>
            </w:r>
            <w:r w:rsidRPr="003A01DF">
              <w:rPr>
                <w:bCs/>
              </w:rPr>
              <w:t xml:space="preserve"> noteiktās rīcības brīvības izmantošanu.  </w:t>
            </w:r>
            <w:r w:rsidRPr="003A01DF">
              <w:rPr>
                <w:iCs/>
              </w:rPr>
              <w:t xml:space="preserve">Tieslietu ministrija izpildīs </w:t>
            </w:r>
            <w:r w:rsidRPr="003A01DF">
              <w:t xml:space="preserve">Direktīvas </w:t>
            </w:r>
            <w:r w:rsidRPr="003A01DF">
              <w:rPr>
                <w:bCs/>
              </w:rPr>
              <w:t xml:space="preserve">5. panta </w:t>
            </w:r>
            <w:r w:rsidR="00D908C8" w:rsidRPr="003A01DF">
              <w:rPr>
                <w:bCs/>
              </w:rPr>
              <w:t>2</w:t>
            </w:r>
            <w:r w:rsidR="002570CE" w:rsidRPr="003A01DF">
              <w:rPr>
                <w:bCs/>
              </w:rPr>
              <w:t>.</w:t>
            </w:r>
            <w:r w:rsidR="0056267B" w:rsidRPr="003A01DF">
              <w:rPr>
                <w:bCs/>
              </w:rPr>
              <w:t xml:space="preserve"> </w:t>
            </w:r>
            <w:r w:rsidR="002570CE" w:rsidRPr="003A01DF">
              <w:rPr>
                <w:bCs/>
              </w:rPr>
              <w:t>punktā</w:t>
            </w:r>
            <w:r w:rsidRPr="003A01DF">
              <w:rPr>
                <w:bCs/>
              </w:rPr>
              <w:t xml:space="preserve"> noteikto pienākumu Latvijas valsts vārdā informēt </w:t>
            </w:r>
            <w:r w:rsidRPr="003A01DF">
              <w:t xml:space="preserve">Eiropas Komisiju par rīcības brīvības izmantošanu no </w:t>
            </w:r>
            <w:r w:rsidR="002570CE" w:rsidRPr="003A01DF">
              <w:rPr>
                <w:bCs/>
              </w:rPr>
              <w:t>Direktīvas</w:t>
            </w:r>
            <w:r w:rsidRPr="003A01DF">
              <w:rPr>
                <w:bCs/>
              </w:rPr>
              <w:t xml:space="preserve"> 3. pantā noteiktā pienākuma, </w:t>
            </w:r>
            <w:r w:rsidRPr="003A01DF">
              <w:t xml:space="preserve">izdarot attiecīgu ierakstu Valsts izpildes pasākumu paziņošanas sistēmā. </w:t>
            </w:r>
          </w:p>
        </w:tc>
      </w:tr>
      <w:tr w:rsidR="007B3532" w:rsidRPr="003A01DF" w14:paraId="29116556" w14:textId="77777777" w:rsidTr="00E55FDA">
        <w:trPr>
          <w:trHeight w:val="579"/>
          <w:jc w:val="center"/>
        </w:trPr>
        <w:tc>
          <w:tcPr>
            <w:tcW w:w="1603" w:type="dxa"/>
            <w:gridSpan w:val="2"/>
          </w:tcPr>
          <w:p w14:paraId="2984AEC6" w14:textId="77777777" w:rsidR="007B3532" w:rsidRPr="003A01DF" w:rsidRDefault="007B3532" w:rsidP="007B3532">
            <w:pPr>
              <w:pStyle w:val="naiskr"/>
              <w:spacing w:before="0" w:after="0"/>
            </w:pPr>
            <w:r w:rsidRPr="003A01DF">
              <w:t>Cita informācija</w:t>
            </w:r>
          </w:p>
        </w:tc>
        <w:tc>
          <w:tcPr>
            <w:tcW w:w="7895" w:type="dxa"/>
          </w:tcPr>
          <w:p w14:paraId="6231BC4B" w14:textId="77777777" w:rsidR="007B3532" w:rsidRPr="003A01DF" w:rsidRDefault="007B3532" w:rsidP="007B3532">
            <w:pPr>
              <w:pStyle w:val="naiskr"/>
              <w:spacing w:before="0" w:after="0"/>
            </w:pPr>
            <w:r w:rsidRPr="003A01DF">
              <w:t>Nav.</w:t>
            </w:r>
          </w:p>
        </w:tc>
      </w:tr>
    </w:tbl>
    <w:p w14:paraId="7EEEDB6A" w14:textId="1F22B566"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242627F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46FEA"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 Sabiedrības līdzdalība un komunikācijas aktivitātes</w:t>
            </w:r>
          </w:p>
        </w:tc>
      </w:tr>
      <w:tr w:rsidR="0001268A" w:rsidRPr="003A01DF" w14:paraId="769974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D82544" w14:textId="73E73B43" w:rsidR="00AA6D7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p w14:paraId="68557091" w14:textId="77777777" w:rsidR="00AA6D7C" w:rsidRPr="003A01DF" w:rsidRDefault="00AA6D7C" w:rsidP="00A04161">
            <w:pPr>
              <w:rPr>
                <w:rFonts w:ascii="Times New Roman" w:eastAsia="Times New Roman" w:hAnsi="Times New Roman" w:cs="Times New Roman"/>
                <w:sz w:val="24"/>
                <w:szCs w:val="24"/>
                <w:lang w:eastAsia="lv-LV"/>
              </w:rPr>
            </w:pPr>
          </w:p>
          <w:p w14:paraId="2B7DDED0" w14:textId="77777777" w:rsidR="00AA6D7C" w:rsidRPr="003A01DF" w:rsidRDefault="00AA6D7C" w:rsidP="00A04161">
            <w:pPr>
              <w:rPr>
                <w:rFonts w:ascii="Times New Roman" w:eastAsia="Times New Roman" w:hAnsi="Times New Roman" w:cs="Times New Roman"/>
                <w:sz w:val="24"/>
                <w:szCs w:val="24"/>
                <w:lang w:eastAsia="lv-LV"/>
              </w:rPr>
            </w:pPr>
          </w:p>
          <w:p w14:paraId="32671B95" w14:textId="77777777" w:rsidR="00AA6D7C" w:rsidRPr="003A01DF" w:rsidRDefault="00AA6D7C" w:rsidP="00A04161">
            <w:pPr>
              <w:rPr>
                <w:rFonts w:ascii="Times New Roman" w:eastAsia="Times New Roman" w:hAnsi="Times New Roman" w:cs="Times New Roman"/>
                <w:sz w:val="24"/>
                <w:szCs w:val="24"/>
                <w:lang w:eastAsia="lv-LV"/>
              </w:rPr>
            </w:pPr>
          </w:p>
          <w:p w14:paraId="031AEF58" w14:textId="77777777" w:rsidR="00AA6D7C" w:rsidRPr="003A01DF" w:rsidRDefault="00AA6D7C" w:rsidP="00A04161">
            <w:pPr>
              <w:rPr>
                <w:rFonts w:ascii="Times New Roman" w:eastAsia="Times New Roman" w:hAnsi="Times New Roman" w:cs="Times New Roman"/>
                <w:sz w:val="24"/>
                <w:szCs w:val="24"/>
                <w:lang w:eastAsia="lv-LV"/>
              </w:rPr>
            </w:pPr>
          </w:p>
          <w:p w14:paraId="6E010E66" w14:textId="77777777" w:rsidR="00AA6D7C" w:rsidRPr="003A01DF" w:rsidRDefault="00AA6D7C" w:rsidP="00A04161">
            <w:pPr>
              <w:rPr>
                <w:rFonts w:ascii="Times New Roman" w:eastAsia="Times New Roman" w:hAnsi="Times New Roman" w:cs="Times New Roman"/>
                <w:sz w:val="24"/>
                <w:szCs w:val="24"/>
                <w:lang w:eastAsia="lv-LV"/>
              </w:rPr>
            </w:pPr>
          </w:p>
          <w:p w14:paraId="08D97A72" w14:textId="3B5CB10D" w:rsidR="00655F2C" w:rsidRPr="003A01DF" w:rsidRDefault="00655F2C" w:rsidP="00A04161">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D1A892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E0D7DA1" w14:textId="6C3AF2DD" w:rsidR="00E5323B" w:rsidRPr="003A01DF" w:rsidRDefault="00F25AE9" w:rsidP="007E0F04">
            <w:pPr>
              <w:spacing w:after="0" w:line="240" w:lineRule="auto"/>
              <w:jc w:val="both"/>
              <w:rPr>
                <w:rFonts w:ascii="Times New Roman" w:eastAsia="Times New Roman" w:hAnsi="Times New Roman" w:cs="Times New Roman"/>
                <w:iCs/>
                <w:sz w:val="24"/>
                <w:szCs w:val="24"/>
                <w:lang w:eastAsia="lv-LV"/>
              </w:rPr>
            </w:pPr>
            <w:r w:rsidRPr="003A01DF">
              <w:rPr>
                <w:rFonts w:ascii="Times New Roman" w:hAnsi="Times New Roman" w:cs="Times New Roman"/>
                <w:sz w:val="24"/>
                <w:szCs w:val="24"/>
              </w:rPr>
              <w:t>Atbilstoši Ministru kabineta 2009.</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gada 25.</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augusta noteikum</w:t>
            </w:r>
            <w:r w:rsidR="002378B9" w:rsidRPr="003A01DF">
              <w:rPr>
                <w:rFonts w:ascii="Times New Roman" w:hAnsi="Times New Roman" w:cs="Times New Roman"/>
                <w:sz w:val="24"/>
                <w:szCs w:val="24"/>
              </w:rPr>
              <w:t>iem</w:t>
            </w:r>
            <w:r w:rsidRPr="003A01DF">
              <w:rPr>
                <w:rFonts w:ascii="Times New Roman" w:hAnsi="Times New Roman" w:cs="Times New Roman"/>
                <w:sz w:val="24"/>
                <w:szCs w:val="24"/>
              </w:rPr>
              <w:t xml:space="preserve"> Nr.</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 xml:space="preserve">970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līdzdalības kārtība attīstības plānošanas procesā</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 xml:space="preserve"> pirms </w:t>
            </w:r>
            <w:r w:rsidR="007B5B77" w:rsidRPr="003A01DF">
              <w:rPr>
                <w:rFonts w:ascii="Times New Roman" w:hAnsi="Times New Roman" w:cs="Times New Roman"/>
                <w:sz w:val="24"/>
                <w:szCs w:val="24"/>
              </w:rPr>
              <w:t xml:space="preserve">Likumprojekta </w:t>
            </w:r>
            <w:r w:rsidRPr="003A01DF">
              <w:rPr>
                <w:rFonts w:ascii="Times New Roman" w:hAnsi="Times New Roman" w:cs="Times New Roman"/>
                <w:sz w:val="24"/>
                <w:szCs w:val="24"/>
              </w:rPr>
              <w:t xml:space="preserve"> nosūtīšanas Valsts kancelejai izskatīšanai Valsts sekretāru sanāksmē par </w:t>
            </w:r>
            <w:r w:rsidR="007B5B77" w:rsidRPr="003A01DF">
              <w:rPr>
                <w:rFonts w:ascii="Times New Roman" w:hAnsi="Times New Roman" w:cs="Times New Roman"/>
                <w:sz w:val="24"/>
                <w:szCs w:val="24"/>
              </w:rPr>
              <w:t>likum</w:t>
            </w:r>
            <w:r w:rsidRPr="003A01DF">
              <w:rPr>
                <w:rFonts w:ascii="Times New Roman" w:hAnsi="Times New Roman" w:cs="Times New Roman"/>
                <w:sz w:val="24"/>
                <w:szCs w:val="24"/>
              </w:rPr>
              <w:t>projekta izstrādi sabiedrības pārstāvji</w:t>
            </w:r>
            <w:r w:rsidR="007E0F04" w:rsidRPr="003A01DF">
              <w:rPr>
                <w:rFonts w:ascii="Times New Roman" w:hAnsi="Times New Roman" w:cs="Times New Roman"/>
                <w:sz w:val="24"/>
                <w:szCs w:val="24"/>
              </w:rPr>
              <w:t xml:space="preserve"> tika informēti</w:t>
            </w:r>
            <w:r w:rsidRPr="003A01DF">
              <w:rPr>
                <w:rFonts w:ascii="Times New Roman" w:hAnsi="Times New Roman" w:cs="Times New Roman"/>
                <w:sz w:val="24"/>
                <w:szCs w:val="24"/>
              </w:rPr>
              <w:t xml:space="preserve">, ievietojot paziņojumu par iespējām iesaistīties </w:t>
            </w:r>
            <w:r w:rsidR="00D728D7" w:rsidRPr="003A01DF">
              <w:rPr>
                <w:rFonts w:ascii="Times New Roman" w:hAnsi="Times New Roman" w:cs="Times New Roman"/>
                <w:sz w:val="24"/>
                <w:szCs w:val="24"/>
              </w:rPr>
              <w:t xml:space="preserve">viedokļa sniegšanā par izstrādāto </w:t>
            </w:r>
            <w:r w:rsidRPr="003A01DF">
              <w:rPr>
                <w:rFonts w:ascii="Times New Roman" w:hAnsi="Times New Roman" w:cs="Times New Roman"/>
                <w:sz w:val="24"/>
                <w:szCs w:val="24"/>
              </w:rPr>
              <w:t xml:space="preserve">tiesību akta </w:t>
            </w:r>
            <w:r w:rsidR="00D728D7" w:rsidRPr="003A01DF">
              <w:rPr>
                <w:rFonts w:ascii="Times New Roman" w:hAnsi="Times New Roman" w:cs="Times New Roman"/>
                <w:sz w:val="24"/>
                <w:szCs w:val="24"/>
              </w:rPr>
              <w:t>procesu</w:t>
            </w:r>
            <w:r w:rsidRPr="003A01DF">
              <w:rPr>
                <w:rFonts w:ascii="Times New Roman" w:hAnsi="Times New Roman" w:cs="Times New Roman"/>
                <w:sz w:val="24"/>
                <w:szCs w:val="24"/>
              </w:rPr>
              <w:t xml:space="preserve"> Aizsardzības ministrijas </w:t>
            </w:r>
            <w:r w:rsidR="007B3532" w:rsidRPr="003A01DF">
              <w:rPr>
                <w:rFonts w:ascii="Times New Roman" w:hAnsi="Times New Roman" w:cs="Times New Roman"/>
                <w:sz w:val="24"/>
                <w:szCs w:val="24"/>
              </w:rPr>
              <w:t>tīmekļa vietnē</w:t>
            </w:r>
            <w:r w:rsidRPr="003A01DF">
              <w:rPr>
                <w:rFonts w:ascii="Times New Roman" w:hAnsi="Times New Roman" w:cs="Times New Roman"/>
                <w:sz w:val="24"/>
                <w:szCs w:val="24"/>
              </w:rPr>
              <w:t xml:space="preserve"> sadaļā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w:t>
            </w:r>
            <w:r w:rsidR="002378B9" w:rsidRPr="003A01DF">
              <w:rPr>
                <w:rFonts w:ascii="Times New Roman" w:hAnsi="Times New Roman" w:cs="Times New Roman"/>
                <w:sz w:val="24"/>
                <w:szCs w:val="24"/>
              </w:rPr>
              <w:t>”</w:t>
            </w:r>
            <w:r w:rsidR="005D67E3" w:rsidRPr="003A01DF">
              <w:rPr>
                <w:rFonts w:ascii="Times New Roman" w:hAnsi="Times New Roman" w:cs="Times New Roman"/>
                <w:sz w:val="24"/>
                <w:szCs w:val="24"/>
              </w:rPr>
              <w:t xml:space="preserve"> </w:t>
            </w:r>
            <w:r w:rsidR="00E4342D" w:rsidRPr="003A01DF">
              <w:rPr>
                <w:rFonts w:ascii="Times New Roman" w:hAnsi="Times New Roman" w:cs="Times New Roman"/>
                <w:sz w:val="24"/>
                <w:szCs w:val="24"/>
              </w:rPr>
              <w:t>un Valsts kancelejas tīmekļa vietnē.</w:t>
            </w:r>
          </w:p>
        </w:tc>
      </w:tr>
      <w:tr w:rsidR="0001268A" w:rsidRPr="003A01DF" w14:paraId="48515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84237"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E1357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CDB97A" w14:textId="3858C429" w:rsidR="00E5323B" w:rsidRPr="002C1BE4" w:rsidRDefault="007B5B77" w:rsidP="006C546C">
            <w:pPr>
              <w:spacing w:after="0" w:line="240" w:lineRule="auto"/>
              <w:jc w:val="both"/>
              <w:rPr>
                <w:rFonts w:ascii="Times New Roman" w:eastAsia="Times New Roman" w:hAnsi="Times New Roman" w:cs="Times New Roman"/>
                <w:iCs/>
                <w:sz w:val="24"/>
                <w:szCs w:val="24"/>
                <w:lang w:eastAsia="lv-LV"/>
              </w:rPr>
            </w:pPr>
            <w:r w:rsidRPr="002C1BE4">
              <w:rPr>
                <w:rFonts w:ascii="Times New Roman" w:eastAsia="Times New Roman" w:hAnsi="Times New Roman" w:cs="Times New Roman"/>
                <w:sz w:val="24"/>
                <w:szCs w:val="24"/>
                <w:lang w:eastAsia="lv-LV"/>
              </w:rPr>
              <w:t>Likum</w:t>
            </w:r>
            <w:r w:rsidR="00F25AE9" w:rsidRPr="002C1BE4">
              <w:rPr>
                <w:rFonts w:ascii="Times New Roman" w:eastAsia="Times New Roman" w:hAnsi="Times New Roman" w:cs="Times New Roman"/>
                <w:sz w:val="24"/>
                <w:szCs w:val="24"/>
                <w:lang w:eastAsia="lv-LV"/>
              </w:rPr>
              <w:t xml:space="preserve">projekts kopā ar sākotnējās ietekmes novērtējuma ziņojumu (anotāciju) </w:t>
            </w:r>
            <w:r w:rsidR="00F25AE9" w:rsidRPr="00DE23F3">
              <w:rPr>
                <w:rFonts w:ascii="Times New Roman" w:eastAsia="Times New Roman" w:hAnsi="Times New Roman" w:cs="Times New Roman"/>
                <w:sz w:val="24"/>
                <w:szCs w:val="24"/>
                <w:lang w:eastAsia="lv-LV"/>
              </w:rPr>
              <w:t>20</w:t>
            </w:r>
            <w:r w:rsidR="008A43C3" w:rsidRPr="00DE23F3">
              <w:rPr>
                <w:rFonts w:ascii="Times New Roman" w:eastAsia="Times New Roman" w:hAnsi="Times New Roman" w:cs="Times New Roman"/>
                <w:sz w:val="24"/>
                <w:szCs w:val="24"/>
                <w:lang w:eastAsia="lv-LV"/>
              </w:rPr>
              <w:t>21</w:t>
            </w:r>
            <w:r w:rsidR="00F25AE9" w:rsidRPr="00DE23F3">
              <w:rPr>
                <w:rFonts w:ascii="Times New Roman" w:eastAsia="Times New Roman" w:hAnsi="Times New Roman" w:cs="Times New Roman"/>
                <w:sz w:val="24"/>
                <w:szCs w:val="24"/>
                <w:lang w:eastAsia="lv-LV"/>
              </w:rPr>
              <w:t>.</w:t>
            </w:r>
            <w:r w:rsidR="002378B9" w:rsidRPr="00DE23F3">
              <w:rPr>
                <w:rFonts w:ascii="Times New Roman" w:eastAsia="Times New Roman" w:hAnsi="Times New Roman" w:cs="Times New Roman"/>
                <w:sz w:val="24"/>
                <w:szCs w:val="24"/>
                <w:lang w:eastAsia="lv-LV"/>
              </w:rPr>
              <w:t> </w:t>
            </w:r>
            <w:r w:rsidR="00F25AE9" w:rsidRPr="00DE23F3">
              <w:rPr>
                <w:rFonts w:ascii="Times New Roman" w:eastAsia="Times New Roman" w:hAnsi="Times New Roman" w:cs="Times New Roman"/>
                <w:sz w:val="24"/>
                <w:szCs w:val="24"/>
                <w:lang w:eastAsia="lv-LV"/>
              </w:rPr>
              <w:t xml:space="preserve">gada </w:t>
            </w:r>
            <w:r w:rsidR="008A43C3" w:rsidRPr="00DE23F3">
              <w:rPr>
                <w:rFonts w:ascii="Times New Roman" w:eastAsia="Times New Roman" w:hAnsi="Times New Roman" w:cs="Times New Roman"/>
                <w:sz w:val="24"/>
                <w:szCs w:val="24"/>
                <w:lang w:eastAsia="lv-LV"/>
              </w:rPr>
              <w:t>2</w:t>
            </w:r>
            <w:r w:rsidR="00DE23F3" w:rsidRPr="00DE23F3">
              <w:rPr>
                <w:rFonts w:ascii="Times New Roman" w:eastAsia="Times New Roman" w:hAnsi="Times New Roman" w:cs="Times New Roman"/>
                <w:sz w:val="24"/>
                <w:szCs w:val="24"/>
                <w:lang w:eastAsia="lv-LV"/>
              </w:rPr>
              <w:t>5</w:t>
            </w:r>
            <w:r w:rsidR="00D728D7" w:rsidRPr="00DE23F3">
              <w:rPr>
                <w:rFonts w:ascii="Times New Roman" w:eastAsia="Times New Roman" w:hAnsi="Times New Roman" w:cs="Times New Roman"/>
                <w:sz w:val="24"/>
                <w:szCs w:val="24"/>
                <w:lang w:eastAsia="lv-LV"/>
              </w:rPr>
              <w:t xml:space="preserve">. </w:t>
            </w:r>
            <w:r w:rsidR="008A43C3" w:rsidRPr="00DE23F3">
              <w:rPr>
                <w:rFonts w:ascii="Times New Roman" w:eastAsia="Times New Roman" w:hAnsi="Times New Roman" w:cs="Times New Roman"/>
                <w:sz w:val="24"/>
                <w:szCs w:val="24"/>
                <w:lang w:eastAsia="lv-LV"/>
              </w:rPr>
              <w:t>martā</w:t>
            </w:r>
            <w:r w:rsidR="00D728D7" w:rsidRPr="00DE23F3">
              <w:rPr>
                <w:rFonts w:ascii="Times New Roman" w:eastAsia="Times New Roman" w:hAnsi="Times New Roman" w:cs="Times New Roman"/>
                <w:sz w:val="24"/>
                <w:szCs w:val="24"/>
                <w:lang w:eastAsia="lv-LV"/>
              </w:rPr>
              <w:t xml:space="preserve"> </w:t>
            </w:r>
            <w:r w:rsidR="002378B9" w:rsidRPr="00DE23F3">
              <w:rPr>
                <w:rFonts w:ascii="Times New Roman" w:eastAsia="Times New Roman" w:hAnsi="Times New Roman" w:cs="Times New Roman"/>
                <w:sz w:val="24"/>
                <w:szCs w:val="24"/>
                <w:lang w:eastAsia="lv-LV"/>
              </w:rPr>
              <w:t xml:space="preserve">ir </w:t>
            </w:r>
            <w:r w:rsidR="00F25AE9" w:rsidRPr="00DE23F3">
              <w:rPr>
                <w:rFonts w:ascii="Times New Roman" w:eastAsia="Times New Roman" w:hAnsi="Times New Roman" w:cs="Times New Roman"/>
                <w:sz w:val="24"/>
                <w:szCs w:val="24"/>
                <w:lang w:eastAsia="lv-LV"/>
              </w:rPr>
              <w:t xml:space="preserve">ievietots </w:t>
            </w:r>
            <w:r w:rsidR="002378B9" w:rsidRPr="00DE23F3">
              <w:rPr>
                <w:rFonts w:ascii="Times New Roman" w:eastAsia="Times New Roman" w:hAnsi="Times New Roman" w:cs="Times New Roman"/>
                <w:sz w:val="24"/>
                <w:szCs w:val="24"/>
                <w:lang w:eastAsia="lv-LV"/>
              </w:rPr>
              <w:t xml:space="preserve">Aizsardzības </w:t>
            </w:r>
            <w:r w:rsidR="00F25AE9" w:rsidRPr="00DE23F3">
              <w:rPr>
                <w:rFonts w:ascii="Times New Roman" w:eastAsia="Times New Roman" w:hAnsi="Times New Roman" w:cs="Times New Roman"/>
                <w:sz w:val="24"/>
                <w:szCs w:val="24"/>
                <w:lang w:eastAsia="lv-LV"/>
              </w:rPr>
              <w:t xml:space="preserve">ministrijas </w:t>
            </w:r>
            <w:r w:rsidR="00DE23F3" w:rsidRPr="00DE23F3">
              <w:rPr>
                <w:rFonts w:ascii="Times New Roman" w:eastAsia="Times New Roman" w:hAnsi="Times New Roman" w:cs="Times New Roman"/>
                <w:sz w:val="24"/>
                <w:szCs w:val="24"/>
                <w:lang w:eastAsia="lv-LV"/>
              </w:rPr>
              <w:t>tīmekļvietnē</w:t>
            </w:r>
            <w:r w:rsidR="007E0F04" w:rsidRPr="00DE23F3">
              <w:rPr>
                <w:rFonts w:ascii="Times New Roman" w:eastAsia="Times New Roman" w:hAnsi="Times New Roman" w:cs="Times New Roman"/>
                <w:sz w:val="24"/>
                <w:szCs w:val="24"/>
                <w:lang w:eastAsia="lv-LV"/>
              </w:rPr>
              <w:t xml:space="preserve"> </w:t>
            </w:r>
            <w:r w:rsidR="00DE23F3" w:rsidRPr="00DE23F3">
              <w:rPr>
                <w:rFonts w:ascii="Times New Roman" w:hAnsi="Times New Roman" w:cs="Times New Roman"/>
                <w:color w:val="1F497D"/>
                <w:sz w:val="24"/>
                <w:szCs w:val="24"/>
              </w:rPr>
              <w:t xml:space="preserve">- </w:t>
            </w:r>
            <w:hyperlink r:id="rId10" w:history="1">
              <w:r w:rsidR="00DE23F3" w:rsidRPr="00DE23F3">
                <w:rPr>
                  <w:rStyle w:val="Hyperlink"/>
                  <w:rFonts w:ascii="Times New Roman" w:hAnsi="Times New Roman" w:cs="Times New Roman"/>
                  <w:sz w:val="24"/>
                  <w:szCs w:val="24"/>
                </w:rPr>
                <w:t>https://www.mod.gov.lv/lv/nozares-politika/sabiedribas-lidzdaliba/sabiedriskas-un-publiskas-apspriesanas</w:t>
              </w:r>
            </w:hyperlink>
            <w:r w:rsidR="00705D1D" w:rsidRPr="002C1BE4">
              <w:rPr>
                <w:rFonts w:ascii="Times New Roman" w:eastAsia="Times New Roman" w:hAnsi="Times New Roman" w:cs="Times New Roman"/>
                <w:sz w:val="24"/>
                <w:szCs w:val="24"/>
                <w:lang w:eastAsia="lv-LV"/>
              </w:rPr>
              <w:t>,</w:t>
            </w:r>
            <w:r w:rsidR="00E4342D" w:rsidRPr="002C1BE4">
              <w:rPr>
                <w:rFonts w:ascii="Times New Roman" w:eastAsia="Times New Roman" w:hAnsi="Times New Roman" w:cs="Times New Roman"/>
                <w:sz w:val="24"/>
                <w:szCs w:val="24"/>
                <w:lang w:eastAsia="lv-LV"/>
              </w:rPr>
              <w:t xml:space="preserve"> </w:t>
            </w:r>
            <w:r w:rsidR="00F25AE9" w:rsidRPr="002C1BE4">
              <w:rPr>
                <w:rFonts w:ascii="Times New Roman" w:eastAsia="Times New Roman" w:hAnsi="Times New Roman" w:cs="Times New Roman"/>
                <w:sz w:val="24"/>
                <w:szCs w:val="24"/>
                <w:lang w:eastAsia="lv-LV"/>
              </w:rPr>
              <w:t>aicinot sabiedrību izteikt savu viedokli</w:t>
            </w:r>
            <w:r w:rsidR="002378B9" w:rsidRPr="002C1BE4">
              <w:rPr>
                <w:rFonts w:ascii="Times New Roman" w:eastAsia="Times New Roman" w:hAnsi="Times New Roman" w:cs="Times New Roman"/>
                <w:sz w:val="24"/>
                <w:szCs w:val="24"/>
                <w:lang w:eastAsia="lv-LV"/>
              </w:rPr>
              <w:t xml:space="preserve"> un </w:t>
            </w:r>
            <w:r w:rsidR="00F25AE9" w:rsidRPr="002C1BE4">
              <w:rPr>
                <w:rFonts w:ascii="Times New Roman" w:eastAsia="Times New Roman" w:hAnsi="Times New Roman" w:cs="Times New Roman"/>
                <w:sz w:val="24"/>
                <w:szCs w:val="24"/>
                <w:lang w:eastAsia="lv-LV"/>
              </w:rPr>
              <w:t>iesniedzot ministrijai priekšlikumus rakstveidā.</w:t>
            </w:r>
          </w:p>
        </w:tc>
      </w:tr>
      <w:tr w:rsidR="0001268A" w:rsidRPr="003A01DF" w14:paraId="3B01A9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30EF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2286E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9D3B88" w14:textId="06E5ABA9" w:rsidR="00E5323B" w:rsidRPr="002C1BE4" w:rsidRDefault="00A663C2" w:rsidP="00A663C2">
            <w:pPr>
              <w:spacing w:after="0" w:line="240" w:lineRule="auto"/>
              <w:rPr>
                <w:rFonts w:ascii="Times New Roman" w:eastAsia="Times New Roman" w:hAnsi="Times New Roman" w:cs="Times New Roman"/>
                <w:i/>
                <w:iCs/>
                <w:sz w:val="24"/>
                <w:szCs w:val="24"/>
                <w:lang w:eastAsia="lv-LV"/>
              </w:rPr>
            </w:pPr>
            <w:r w:rsidRPr="00A663C2">
              <w:rPr>
                <w:rFonts w:ascii="Times New Roman" w:eastAsia="Times New Roman" w:hAnsi="Times New Roman" w:cs="Times New Roman"/>
                <w:sz w:val="24"/>
                <w:szCs w:val="24"/>
                <w:lang w:eastAsia="lv-LV"/>
              </w:rPr>
              <w:t>Norādītajā laika periodā nav saņemts sabiedrības pārstāvju viedoklis par likumprojektu</w:t>
            </w:r>
            <w:r>
              <w:rPr>
                <w:rFonts w:ascii="Times New Roman" w:eastAsia="Times New Roman" w:hAnsi="Times New Roman" w:cs="Times New Roman"/>
                <w:i/>
                <w:sz w:val="24"/>
                <w:szCs w:val="24"/>
                <w:lang w:eastAsia="lv-LV"/>
              </w:rPr>
              <w:t>.</w:t>
            </w:r>
          </w:p>
        </w:tc>
      </w:tr>
      <w:tr w:rsidR="0001268A" w:rsidRPr="003A01DF" w14:paraId="7EA664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D65F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CE2E8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C549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5059F55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3173074B" w14:textId="77777777" w:rsidTr="00D27185">
        <w:trPr>
          <w:trHeight w:val="11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2696C7"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268A" w:rsidRPr="003A01DF" w14:paraId="50662F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EB882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3646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1D0DDE" w14:textId="5FA3E62A" w:rsidR="00E5323B" w:rsidRPr="003A01DF" w:rsidRDefault="00F25AE9" w:rsidP="00AC733B">
            <w:pPr>
              <w:spacing w:after="0" w:line="240" w:lineRule="auto"/>
              <w:jc w:val="both"/>
              <w:rPr>
                <w:rFonts w:ascii="Times New Roman" w:hAnsi="Times New Roman" w:cs="Times New Roman"/>
                <w:sz w:val="24"/>
                <w:szCs w:val="24"/>
              </w:rPr>
            </w:pPr>
            <w:r w:rsidRPr="003A01DF">
              <w:rPr>
                <w:rFonts w:ascii="Times New Roman" w:eastAsia="Times New Roman" w:hAnsi="Times New Roman" w:cs="Times New Roman"/>
                <w:iCs/>
                <w:sz w:val="24"/>
                <w:szCs w:val="24"/>
                <w:lang w:eastAsia="lv-LV"/>
              </w:rPr>
              <w:t>Aizsardzības ministrija</w:t>
            </w:r>
            <w:r w:rsidR="00E4342D" w:rsidRPr="003A01DF">
              <w:rPr>
                <w:rFonts w:ascii="Times New Roman" w:eastAsia="Times New Roman" w:hAnsi="Times New Roman" w:cs="Times New Roman"/>
                <w:iCs/>
                <w:sz w:val="24"/>
                <w:szCs w:val="24"/>
                <w:lang w:eastAsia="lv-LV"/>
              </w:rPr>
              <w:t xml:space="preserve">, </w:t>
            </w:r>
            <w:r w:rsidR="00AC733B" w:rsidRPr="003A01DF">
              <w:rPr>
                <w:rFonts w:ascii="Times New Roman" w:eastAsia="Times New Roman" w:hAnsi="Times New Roman" w:cs="Times New Roman"/>
                <w:iCs/>
                <w:sz w:val="24"/>
                <w:szCs w:val="24"/>
                <w:lang w:eastAsia="lv-LV"/>
              </w:rPr>
              <w:t>Nacionālie bruņotie spēki</w:t>
            </w:r>
            <w:r w:rsidR="00D27185" w:rsidRPr="003A01DF">
              <w:rPr>
                <w:rFonts w:ascii="Times New Roman" w:eastAsia="Times New Roman" w:hAnsi="Times New Roman" w:cs="Times New Roman"/>
                <w:iCs/>
                <w:sz w:val="24"/>
                <w:szCs w:val="24"/>
                <w:lang w:eastAsia="lv-LV"/>
              </w:rPr>
              <w:t xml:space="preserve">, </w:t>
            </w:r>
            <w:r w:rsidR="00AC733B" w:rsidRPr="003A01DF">
              <w:rPr>
                <w:rFonts w:ascii="Times New Roman" w:hAnsi="Times New Roman" w:cs="Times New Roman"/>
                <w:sz w:val="24"/>
                <w:szCs w:val="24"/>
              </w:rPr>
              <w:t>LTAB.</w:t>
            </w:r>
          </w:p>
          <w:p w14:paraId="1ABFEFFB" w14:textId="3BF6F4E0" w:rsidR="00705D1D" w:rsidRPr="003A01DF" w:rsidRDefault="00705D1D" w:rsidP="00AC733B">
            <w:pPr>
              <w:spacing w:after="0" w:line="240" w:lineRule="auto"/>
              <w:jc w:val="both"/>
              <w:rPr>
                <w:rFonts w:ascii="Times New Roman" w:eastAsia="Times New Roman" w:hAnsi="Times New Roman" w:cs="Times New Roman"/>
                <w:iCs/>
                <w:sz w:val="24"/>
                <w:szCs w:val="24"/>
                <w:lang w:eastAsia="lv-LV"/>
              </w:rPr>
            </w:pPr>
          </w:p>
        </w:tc>
      </w:tr>
      <w:tr w:rsidR="0001268A" w:rsidRPr="003A01DF" w14:paraId="43C53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A46D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8D27A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izpildes ietekme uz pārvaldes funkcijām un institucionālo struktūru.</w:t>
            </w:r>
            <w:r w:rsidRPr="003A01DF">
              <w:rPr>
                <w:rFonts w:ascii="Times New Roman" w:eastAsia="Times New Roman" w:hAnsi="Times New Roman" w:cs="Times New Roman"/>
                <w:iCs/>
                <w:sz w:val="24"/>
                <w:szCs w:val="24"/>
                <w:lang w:eastAsia="lv-LV"/>
              </w:rPr>
              <w:br/>
              <w:t xml:space="preserve">Jaunu institūciju izveide, esošu institūciju likvidācija vai </w:t>
            </w:r>
            <w:r w:rsidRPr="003A01DF">
              <w:rPr>
                <w:rFonts w:ascii="Times New Roman" w:eastAsia="Times New Roman" w:hAnsi="Times New Roman" w:cs="Times New Roman"/>
                <w:iCs/>
                <w:sz w:val="24"/>
                <w:szCs w:val="24"/>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1778F5" w14:textId="278CB61B" w:rsidR="008A43C3" w:rsidRDefault="00F25AE9" w:rsidP="009739AE">
            <w:pPr>
              <w:spacing w:after="0" w:line="240" w:lineRule="auto"/>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lastRenderedPageBreak/>
              <w:t>Jaunas institūcijas netiek veidotas, esošās netiek likvidētas vai reorganizētas.</w:t>
            </w:r>
            <w:r w:rsidR="00C2542A" w:rsidRPr="003A01DF">
              <w:rPr>
                <w:rFonts w:ascii="Times New Roman" w:eastAsia="Times New Roman" w:hAnsi="Times New Roman" w:cs="Times New Roman"/>
                <w:sz w:val="24"/>
                <w:szCs w:val="24"/>
                <w:lang w:eastAsia="lv-LV"/>
              </w:rPr>
              <w:t xml:space="preserve"> Uzdevumu izpildes apjoma palielinājumu nav iespējams precīzi prognozēt, jo tas būs atkarīgs no </w:t>
            </w:r>
            <w:r w:rsidR="006C546C">
              <w:rPr>
                <w:rFonts w:ascii="Times New Roman" w:eastAsia="Times New Roman" w:hAnsi="Times New Roman" w:cs="Times New Roman"/>
                <w:sz w:val="24"/>
                <w:szCs w:val="24"/>
                <w:lang w:eastAsia="lv-LV"/>
              </w:rPr>
              <w:t xml:space="preserve">ceļu satiksmes </w:t>
            </w:r>
            <w:r w:rsidR="00C2542A" w:rsidRPr="003A01DF">
              <w:rPr>
                <w:rFonts w:ascii="Times New Roman" w:eastAsia="Times New Roman" w:hAnsi="Times New Roman" w:cs="Times New Roman"/>
                <w:sz w:val="24"/>
                <w:szCs w:val="24"/>
                <w:lang w:eastAsia="lv-LV"/>
              </w:rPr>
              <w:t xml:space="preserve">negadījumu skaita, kuros zaudējumus nodarījušais transportlīdzeklis būs Latvijas </w:t>
            </w:r>
            <w:r w:rsidR="00C2542A" w:rsidRPr="003A01DF">
              <w:rPr>
                <w:rFonts w:ascii="Times New Roman" w:eastAsia="Times New Roman" w:hAnsi="Times New Roman" w:cs="Times New Roman"/>
                <w:sz w:val="24"/>
                <w:szCs w:val="24"/>
                <w:lang w:eastAsia="lv-LV"/>
              </w:rPr>
              <w:lastRenderedPageBreak/>
              <w:t>Nacionālo bruņoto spēku speciālā militārā</w:t>
            </w:r>
            <w:r w:rsidR="008A43C3">
              <w:rPr>
                <w:rFonts w:ascii="Times New Roman" w:eastAsia="Times New Roman" w:hAnsi="Times New Roman" w:cs="Times New Roman"/>
                <w:sz w:val="24"/>
                <w:szCs w:val="24"/>
                <w:lang w:eastAsia="lv-LV"/>
              </w:rPr>
              <w:t>s</w:t>
            </w:r>
            <w:r w:rsidR="00C2542A" w:rsidRPr="003A01DF">
              <w:rPr>
                <w:rFonts w:ascii="Times New Roman" w:eastAsia="Times New Roman" w:hAnsi="Times New Roman" w:cs="Times New Roman"/>
                <w:sz w:val="24"/>
                <w:szCs w:val="24"/>
                <w:lang w:eastAsia="lv-LV"/>
              </w:rPr>
              <w:t xml:space="preserve"> tehnika</w:t>
            </w:r>
            <w:r w:rsidR="008A43C3">
              <w:rPr>
                <w:rFonts w:ascii="Times New Roman" w:eastAsia="Times New Roman" w:hAnsi="Times New Roman" w:cs="Times New Roman"/>
                <w:sz w:val="24"/>
                <w:szCs w:val="24"/>
                <w:lang w:eastAsia="lv-LV"/>
              </w:rPr>
              <w:t>s piekabe</w:t>
            </w:r>
            <w:r w:rsidR="007B3532" w:rsidRPr="003A01DF">
              <w:rPr>
                <w:rFonts w:ascii="Times New Roman" w:eastAsia="Times New Roman" w:hAnsi="Times New Roman" w:cs="Times New Roman"/>
                <w:sz w:val="24"/>
                <w:szCs w:val="24"/>
                <w:lang w:eastAsia="lv-LV"/>
              </w:rPr>
              <w:t>, kā arī administrēšanas sarežģītības</w:t>
            </w:r>
            <w:r w:rsidR="00C2542A" w:rsidRPr="003A01DF">
              <w:rPr>
                <w:rFonts w:ascii="Times New Roman" w:eastAsia="Times New Roman" w:hAnsi="Times New Roman" w:cs="Times New Roman"/>
                <w:sz w:val="24"/>
                <w:szCs w:val="24"/>
                <w:lang w:eastAsia="lv-LV"/>
              </w:rPr>
              <w:t xml:space="preserve">. </w:t>
            </w:r>
          </w:p>
          <w:p w14:paraId="3CBD4322" w14:textId="6537DCBB" w:rsidR="006758F0" w:rsidRPr="00364E18" w:rsidRDefault="006758F0" w:rsidP="006C546C">
            <w:pPr>
              <w:spacing w:after="0" w:line="240" w:lineRule="auto"/>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t>LTAB jau šobrīd administrē zaudējumu atlīdzību tiem cietušajiem, kuriem zaudējumus nodara neapdrošināts transportlīdzeklis</w:t>
            </w:r>
            <w:r w:rsidR="008A43C3">
              <w:rPr>
                <w:rFonts w:ascii="Times New Roman" w:eastAsia="Times New Roman" w:hAnsi="Times New Roman" w:cs="Times New Roman"/>
                <w:sz w:val="24"/>
                <w:szCs w:val="24"/>
                <w:lang w:eastAsia="lv-LV"/>
              </w:rPr>
              <w:t xml:space="preserve">, kā arī </w:t>
            </w:r>
            <w:r w:rsidR="006C546C">
              <w:rPr>
                <w:rFonts w:ascii="Times New Roman" w:eastAsia="Times New Roman" w:hAnsi="Times New Roman" w:cs="Times New Roman"/>
                <w:sz w:val="24"/>
                <w:szCs w:val="24"/>
                <w:lang w:eastAsia="lv-LV"/>
              </w:rPr>
              <w:t xml:space="preserve">LTAB ar OCTA likuma grozījumiem, kas spēkā no 2021. gada 1. februāra, ir noteikts pienākums administrēt </w:t>
            </w:r>
            <w:r w:rsidR="008A43C3">
              <w:rPr>
                <w:rFonts w:ascii="Times New Roman" w:eastAsia="Times New Roman" w:hAnsi="Times New Roman" w:cs="Times New Roman"/>
                <w:sz w:val="24"/>
                <w:szCs w:val="24"/>
                <w:lang w:eastAsia="lv-LV"/>
              </w:rPr>
              <w:t>speciālās militārās tehnikas nodarīto</w:t>
            </w:r>
            <w:r w:rsidR="006C546C">
              <w:rPr>
                <w:rFonts w:ascii="Times New Roman" w:eastAsia="Times New Roman" w:hAnsi="Times New Roman" w:cs="Times New Roman"/>
                <w:sz w:val="24"/>
                <w:szCs w:val="24"/>
                <w:lang w:eastAsia="lv-LV"/>
              </w:rPr>
              <w:t>s</w:t>
            </w:r>
            <w:r w:rsidR="008A43C3">
              <w:rPr>
                <w:rFonts w:ascii="Times New Roman" w:eastAsia="Times New Roman" w:hAnsi="Times New Roman" w:cs="Times New Roman"/>
                <w:sz w:val="24"/>
                <w:szCs w:val="24"/>
                <w:lang w:eastAsia="lv-LV"/>
              </w:rPr>
              <w:t xml:space="preserve"> zaudējumu</w:t>
            </w:r>
            <w:r w:rsidR="006C546C">
              <w:rPr>
                <w:rFonts w:ascii="Times New Roman" w:eastAsia="Times New Roman" w:hAnsi="Times New Roman" w:cs="Times New Roman"/>
                <w:sz w:val="24"/>
                <w:szCs w:val="24"/>
                <w:lang w:eastAsia="lv-LV"/>
              </w:rPr>
              <w:t>s</w:t>
            </w:r>
            <w:r w:rsidR="008A43C3">
              <w:rPr>
                <w:rFonts w:ascii="Times New Roman" w:eastAsia="Times New Roman" w:hAnsi="Times New Roman" w:cs="Times New Roman"/>
                <w:sz w:val="24"/>
                <w:szCs w:val="24"/>
                <w:lang w:eastAsia="lv-LV"/>
              </w:rPr>
              <w:t xml:space="preserve"> (pagaidām šādi gadījumi nav notikuši)</w:t>
            </w:r>
            <w:r w:rsidRPr="003A01DF">
              <w:rPr>
                <w:rFonts w:ascii="Times New Roman" w:eastAsia="Times New Roman" w:hAnsi="Times New Roman" w:cs="Times New Roman"/>
                <w:sz w:val="24"/>
                <w:szCs w:val="24"/>
                <w:lang w:eastAsia="lv-LV"/>
              </w:rPr>
              <w:t xml:space="preserve">. </w:t>
            </w:r>
            <w:r w:rsidR="008A43C3">
              <w:rPr>
                <w:rFonts w:ascii="Times New Roman" w:eastAsia="Times New Roman" w:hAnsi="Times New Roman" w:cs="Times New Roman"/>
                <w:sz w:val="24"/>
                <w:szCs w:val="24"/>
                <w:lang w:eastAsia="lv-LV"/>
              </w:rPr>
              <w:t>OCTA likuma 41.</w:t>
            </w:r>
            <w:r w:rsidR="008A43C3">
              <w:rPr>
                <w:rFonts w:ascii="Times New Roman" w:eastAsia="Times New Roman" w:hAnsi="Times New Roman" w:cs="Times New Roman"/>
                <w:sz w:val="24"/>
                <w:szCs w:val="24"/>
                <w:vertAlign w:val="superscript"/>
                <w:lang w:eastAsia="lv-LV"/>
              </w:rPr>
              <w:t>1</w:t>
            </w:r>
            <w:r w:rsidR="008A43C3">
              <w:rPr>
                <w:rFonts w:ascii="Times New Roman" w:eastAsia="Times New Roman" w:hAnsi="Times New Roman" w:cs="Times New Roman"/>
                <w:sz w:val="24"/>
                <w:szCs w:val="24"/>
                <w:lang w:eastAsia="lv-LV"/>
              </w:rPr>
              <w:t xml:space="preserve"> un 41.</w:t>
            </w:r>
            <w:r w:rsidR="008A43C3">
              <w:rPr>
                <w:rFonts w:ascii="Times New Roman" w:eastAsia="Times New Roman" w:hAnsi="Times New Roman" w:cs="Times New Roman"/>
                <w:sz w:val="24"/>
                <w:szCs w:val="24"/>
                <w:vertAlign w:val="superscript"/>
                <w:lang w:eastAsia="lv-LV"/>
              </w:rPr>
              <w:t>2</w:t>
            </w:r>
            <w:r w:rsidR="008A43C3">
              <w:rPr>
                <w:rFonts w:ascii="Times New Roman" w:eastAsia="Times New Roman" w:hAnsi="Times New Roman" w:cs="Times New Roman"/>
                <w:sz w:val="24"/>
                <w:szCs w:val="24"/>
                <w:lang w:eastAsia="lv-LV"/>
              </w:rPr>
              <w:t xml:space="preserve"> </w:t>
            </w:r>
            <w:r w:rsidR="00A663C2">
              <w:rPr>
                <w:rFonts w:ascii="Times New Roman" w:eastAsia="Times New Roman" w:hAnsi="Times New Roman" w:cs="Times New Roman"/>
                <w:sz w:val="24"/>
                <w:szCs w:val="24"/>
                <w:lang w:eastAsia="lv-LV"/>
              </w:rPr>
              <w:t xml:space="preserve">pants </w:t>
            </w:r>
            <w:r w:rsidR="008A43C3">
              <w:rPr>
                <w:rFonts w:ascii="Times New Roman" w:eastAsia="Times New Roman" w:hAnsi="Times New Roman" w:cs="Times New Roman"/>
                <w:sz w:val="24"/>
                <w:szCs w:val="24"/>
                <w:lang w:eastAsia="lv-LV"/>
              </w:rPr>
              <w:t xml:space="preserve">jau </w:t>
            </w:r>
            <w:r w:rsidR="00A663C2">
              <w:rPr>
                <w:rFonts w:ascii="Times New Roman" w:eastAsia="Times New Roman" w:hAnsi="Times New Roman" w:cs="Times New Roman"/>
                <w:sz w:val="24"/>
                <w:szCs w:val="24"/>
                <w:lang w:eastAsia="lv-LV"/>
              </w:rPr>
              <w:t xml:space="preserve">nosaka </w:t>
            </w:r>
            <w:r w:rsidR="008A43C3">
              <w:rPr>
                <w:rFonts w:ascii="Times New Roman" w:eastAsia="Times New Roman" w:hAnsi="Times New Roman" w:cs="Times New Roman"/>
                <w:sz w:val="24"/>
                <w:szCs w:val="24"/>
                <w:lang w:eastAsia="lv-LV"/>
              </w:rPr>
              <w:t>kārtību, kādā tiks atlīdzināti speciālās militār</w:t>
            </w:r>
            <w:r w:rsidR="00E55FDA">
              <w:rPr>
                <w:rFonts w:ascii="Times New Roman" w:eastAsia="Times New Roman" w:hAnsi="Times New Roman" w:cs="Times New Roman"/>
                <w:sz w:val="24"/>
                <w:szCs w:val="24"/>
                <w:lang w:eastAsia="lv-LV"/>
              </w:rPr>
              <w:t>ās tehnikas nodarītie zaudējumi</w:t>
            </w:r>
            <w:r w:rsidR="006C546C">
              <w:rPr>
                <w:rFonts w:ascii="Times New Roman" w:eastAsia="Times New Roman" w:hAnsi="Times New Roman" w:cs="Times New Roman"/>
                <w:sz w:val="24"/>
                <w:szCs w:val="24"/>
                <w:lang w:eastAsia="lv-LV"/>
              </w:rPr>
              <w:t>,</w:t>
            </w:r>
            <w:r w:rsidR="00E55FDA">
              <w:rPr>
                <w:rFonts w:ascii="Times New Roman" w:eastAsia="Times New Roman" w:hAnsi="Times New Roman" w:cs="Times New Roman"/>
                <w:sz w:val="24"/>
                <w:szCs w:val="24"/>
                <w:lang w:eastAsia="lv-LV"/>
              </w:rPr>
              <w:t xml:space="preserve"> un šī kārtība būs attiecināma arī uz speciālās militārās tehnikas piekabes nodarīto zaudējumu administrēšanu.</w:t>
            </w:r>
          </w:p>
        </w:tc>
      </w:tr>
      <w:tr w:rsidR="00E5323B" w:rsidRPr="003A01DF" w14:paraId="39772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0A72E"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CCA303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A91AD4"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6012206D" w14:textId="77777777" w:rsidR="00364E18" w:rsidRPr="00252B1F" w:rsidRDefault="00364E18" w:rsidP="007F2F22">
      <w:pPr>
        <w:spacing w:after="0" w:line="240" w:lineRule="auto"/>
        <w:rPr>
          <w:rFonts w:ascii="Times New Roman" w:hAnsi="Times New Roman" w:cs="Times New Roman"/>
          <w:sz w:val="28"/>
          <w:szCs w:val="28"/>
        </w:rPr>
      </w:pPr>
    </w:p>
    <w:p w14:paraId="40F705DF" w14:textId="0F1336AE" w:rsidR="00C03B12" w:rsidRDefault="00C03B12" w:rsidP="007F2F22">
      <w:pPr>
        <w:spacing w:after="0" w:line="240" w:lineRule="auto"/>
        <w:rPr>
          <w:rFonts w:ascii="Times New Roman" w:hAnsi="Times New Roman" w:cs="Times New Roman"/>
          <w:sz w:val="28"/>
          <w:szCs w:val="28"/>
        </w:rPr>
      </w:pPr>
    </w:p>
    <w:p w14:paraId="6F2559D2" w14:textId="77777777" w:rsidR="00BE37A7" w:rsidRPr="00252B1F" w:rsidRDefault="00BE37A7" w:rsidP="007F2F22">
      <w:pPr>
        <w:spacing w:after="0" w:line="240" w:lineRule="auto"/>
        <w:rPr>
          <w:rFonts w:ascii="Times New Roman" w:hAnsi="Times New Roman" w:cs="Times New Roman"/>
          <w:sz w:val="28"/>
          <w:szCs w:val="28"/>
        </w:rPr>
      </w:pPr>
    </w:p>
    <w:p w14:paraId="5F37203E" w14:textId="77777777" w:rsidR="00BE37A7" w:rsidRPr="00C900BA" w:rsidRDefault="00BE37A7" w:rsidP="008A6410">
      <w:pPr>
        <w:pStyle w:val="BodyText"/>
        <w:spacing w:after="0"/>
        <w:ind w:right="-360" w:firstLine="709"/>
        <w:rPr>
          <w:color w:val="000000"/>
          <w:sz w:val="28"/>
          <w:lang w:val="lv-LV"/>
        </w:rPr>
      </w:pPr>
      <w:r w:rsidRPr="00C900BA">
        <w:rPr>
          <w:color w:val="000000"/>
          <w:sz w:val="28"/>
          <w:lang w:val="lv-LV"/>
        </w:rPr>
        <w:t>Ministru prezidenta biedr</w:t>
      </w:r>
      <w:r>
        <w:rPr>
          <w:color w:val="000000"/>
          <w:sz w:val="28"/>
          <w:lang w:val="lv-LV"/>
        </w:rPr>
        <w:t>a</w:t>
      </w:r>
      <w:r w:rsidRPr="00C900BA">
        <w:rPr>
          <w:color w:val="000000"/>
          <w:sz w:val="28"/>
          <w:lang w:val="lv-LV"/>
        </w:rPr>
        <w:t>,</w:t>
      </w:r>
    </w:p>
    <w:p w14:paraId="60DCC483" w14:textId="77777777" w:rsidR="00BE37A7" w:rsidRDefault="00BE37A7" w:rsidP="008A6410">
      <w:pPr>
        <w:pStyle w:val="BodyText"/>
        <w:tabs>
          <w:tab w:val="left" w:pos="6521"/>
        </w:tabs>
        <w:spacing w:after="0"/>
        <w:ind w:right="-360" w:firstLine="709"/>
        <w:rPr>
          <w:color w:val="000000"/>
          <w:sz w:val="28"/>
          <w:lang w:val="lv-LV"/>
        </w:rPr>
      </w:pPr>
      <w:r w:rsidRPr="00C900BA">
        <w:rPr>
          <w:color w:val="000000"/>
          <w:sz w:val="28"/>
          <w:lang w:val="lv-LV"/>
        </w:rPr>
        <w:t>aizsardzības ministr</w:t>
      </w:r>
      <w:r>
        <w:rPr>
          <w:color w:val="000000"/>
          <w:sz w:val="28"/>
          <w:lang w:val="lv-LV"/>
        </w:rPr>
        <w:t>a vietā –</w:t>
      </w:r>
    </w:p>
    <w:p w14:paraId="106BB534" w14:textId="77777777" w:rsidR="00BE37A7" w:rsidRPr="00DE283C" w:rsidRDefault="00BE37A7" w:rsidP="008A641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e</w:t>
      </w:r>
      <w:r>
        <w:rPr>
          <w:rFonts w:ascii="Times New Roman" w:hAnsi="Times New Roman"/>
          <w:color w:val="auto"/>
          <w:sz w:val="28"/>
          <w:lang w:val="de-DE"/>
        </w:rPr>
        <w:tab/>
        <w:t>M. Golubeva</w:t>
      </w:r>
    </w:p>
    <w:p w14:paraId="51888535" w14:textId="3FF2C332" w:rsidR="00C03B12" w:rsidRDefault="00C03B12" w:rsidP="00F25AE9">
      <w:pPr>
        <w:tabs>
          <w:tab w:val="left" w:pos="6237"/>
        </w:tabs>
        <w:spacing w:after="0" w:line="240" w:lineRule="auto"/>
        <w:rPr>
          <w:rFonts w:ascii="Times New Roman" w:hAnsi="Times New Roman" w:cs="Times New Roman"/>
          <w:sz w:val="20"/>
          <w:szCs w:val="20"/>
        </w:rPr>
      </w:pPr>
    </w:p>
    <w:p w14:paraId="1E237B9F" w14:textId="5ACF495A" w:rsidR="00C03B12" w:rsidRDefault="00C03B12" w:rsidP="00F25AE9">
      <w:pPr>
        <w:tabs>
          <w:tab w:val="left" w:pos="6237"/>
        </w:tabs>
        <w:spacing w:after="0" w:line="240" w:lineRule="auto"/>
        <w:rPr>
          <w:rFonts w:ascii="Times New Roman" w:hAnsi="Times New Roman" w:cs="Times New Roman"/>
          <w:sz w:val="20"/>
          <w:szCs w:val="20"/>
        </w:rPr>
      </w:pPr>
    </w:p>
    <w:p w14:paraId="45E6391A" w14:textId="77777777" w:rsidR="00C03B12" w:rsidRDefault="00C03B12" w:rsidP="00F25AE9">
      <w:pPr>
        <w:tabs>
          <w:tab w:val="left" w:pos="6237"/>
        </w:tabs>
        <w:spacing w:after="0" w:line="240" w:lineRule="auto"/>
        <w:rPr>
          <w:rFonts w:ascii="Times New Roman" w:hAnsi="Times New Roman" w:cs="Times New Roman"/>
          <w:sz w:val="20"/>
          <w:szCs w:val="20"/>
        </w:rPr>
      </w:pPr>
    </w:p>
    <w:p w14:paraId="5B5F5DE8" w14:textId="06D21E6F" w:rsidR="00F25AE9" w:rsidRPr="006B5160" w:rsidRDefault="007A00ED" w:rsidP="00F25AE9">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 </w:t>
      </w:r>
      <w:r w:rsidR="00F25AE9" w:rsidRPr="006B5160">
        <w:rPr>
          <w:rFonts w:ascii="Times New Roman" w:hAnsi="Times New Roman" w:cs="Times New Roman"/>
          <w:sz w:val="20"/>
          <w:szCs w:val="20"/>
        </w:rPr>
        <w:t>Baltā</w:t>
      </w:r>
      <w:r w:rsidRPr="006B5160">
        <w:rPr>
          <w:rFonts w:ascii="Times New Roman" w:hAnsi="Times New Roman" w:cs="Times New Roman"/>
          <w:sz w:val="20"/>
          <w:szCs w:val="20"/>
        </w:rPr>
        <w:t>,</w:t>
      </w:r>
      <w:r w:rsidR="00F25AE9" w:rsidRPr="006B5160">
        <w:rPr>
          <w:rFonts w:ascii="Times New Roman" w:hAnsi="Times New Roman" w:cs="Times New Roman"/>
          <w:sz w:val="20"/>
          <w:szCs w:val="20"/>
        </w:rPr>
        <w:t xml:space="preserve"> 67</w:t>
      </w:r>
      <w:r w:rsidR="001177DA" w:rsidRPr="006B5160">
        <w:rPr>
          <w:rFonts w:ascii="Times New Roman" w:hAnsi="Times New Roman" w:cs="Times New Roman"/>
          <w:sz w:val="20"/>
          <w:szCs w:val="20"/>
        </w:rPr>
        <w:t>335270</w:t>
      </w:r>
    </w:p>
    <w:p w14:paraId="30CB8102" w14:textId="5D5DDDFE" w:rsidR="00F25AE9" w:rsidRDefault="00BE37A7" w:rsidP="0072475B">
      <w:pPr>
        <w:tabs>
          <w:tab w:val="left" w:pos="6237"/>
        </w:tabs>
        <w:spacing w:after="0" w:line="240" w:lineRule="auto"/>
        <w:rPr>
          <w:rFonts w:ascii="Times New Roman" w:hAnsi="Times New Roman" w:cs="Times New Roman"/>
          <w:sz w:val="20"/>
          <w:szCs w:val="20"/>
        </w:rPr>
      </w:pPr>
      <w:hyperlink r:id="rId11" w:history="1">
        <w:r w:rsidR="00252B1F" w:rsidRPr="00BF49FB">
          <w:rPr>
            <w:rStyle w:val="Hyperlink"/>
            <w:rFonts w:ascii="Times New Roman" w:hAnsi="Times New Roman" w:cs="Times New Roman"/>
            <w:sz w:val="20"/>
            <w:szCs w:val="20"/>
          </w:rPr>
          <w:t>marina.balta@mod.gov.lv</w:t>
        </w:r>
      </w:hyperlink>
    </w:p>
    <w:p w14:paraId="39915921" w14:textId="77777777" w:rsidR="00252B1F" w:rsidRDefault="00252B1F" w:rsidP="0072475B">
      <w:pPr>
        <w:tabs>
          <w:tab w:val="left" w:pos="6237"/>
        </w:tabs>
        <w:spacing w:after="0" w:line="240" w:lineRule="auto"/>
        <w:rPr>
          <w:rFonts w:ascii="Times New Roman" w:hAnsi="Times New Roman" w:cs="Times New Roman"/>
          <w:sz w:val="20"/>
          <w:szCs w:val="20"/>
        </w:rPr>
      </w:pPr>
    </w:p>
    <w:p w14:paraId="751A3223" w14:textId="77777777" w:rsidR="00252B1F" w:rsidRDefault="00252B1F" w:rsidP="0072475B">
      <w:pPr>
        <w:tabs>
          <w:tab w:val="left" w:pos="6237"/>
        </w:tabs>
        <w:spacing w:after="0" w:line="240" w:lineRule="auto"/>
        <w:rPr>
          <w:rFonts w:ascii="Times New Roman" w:hAnsi="Times New Roman" w:cs="Times New Roman"/>
          <w:sz w:val="20"/>
          <w:szCs w:val="20"/>
        </w:rPr>
      </w:pPr>
      <w:bookmarkStart w:id="0" w:name="_GoBack"/>
      <w:bookmarkEnd w:id="0"/>
    </w:p>
    <w:p w14:paraId="090252E4" w14:textId="77777777" w:rsidR="00252B1F" w:rsidRDefault="00252B1F" w:rsidP="0072475B">
      <w:pPr>
        <w:tabs>
          <w:tab w:val="left" w:pos="6237"/>
        </w:tabs>
        <w:spacing w:after="0" w:line="240" w:lineRule="auto"/>
        <w:rPr>
          <w:rFonts w:ascii="Times New Roman" w:hAnsi="Times New Roman" w:cs="Times New Roman"/>
          <w:sz w:val="20"/>
          <w:szCs w:val="20"/>
        </w:rPr>
      </w:pPr>
    </w:p>
    <w:p w14:paraId="3932B724" w14:textId="77777777" w:rsidR="00252B1F" w:rsidRDefault="00252B1F" w:rsidP="0072475B">
      <w:pPr>
        <w:tabs>
          <w:tab w:val="left" w:pos="6237"/>
        </w:tabs>
        <w:spacing w:after="0" w:line="240" w:lineRule="auto"/>
        <w:rPr>
          <w:rFonts w:ascii="Times New Roman" w:hAnsi="Times New Roman" w:cs="Times New Roman"/>
          <w:sz w:val="20"/>
          <w:szCs w:val="20"/>
        </w:rPr>
      </w:pPr>
    </w:p>
    <w:p w14:paraId="558DAB70" w14:textId="4EF490FD" w:rsidR="00252B1F" w:rsidRPr="005A3098" w:rsidRDefault="00252B1F" w:rsidP="00252B1F">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237</w:t>
      </w:r>
      <w:r w:rsidR="00BE37A7">
        <w:rPr>
          <w:rFonts w:ascii="Times New Roman" w:hAnsi="Times New Roman"/>
          <w:sz w:val="16"/>
          <w:szCs w:val="16"/>
        </w:rPr>
        <w:t>7</w:t>
      </w:r>
    </w:p>
    <w:sectPr w:rsidR="00252B1F" w:rsidRPr="005A3098" w:rsidSect="007F2F22">
      <w:headerReference w:type="default" r:id="rId12"/>
      <w:footerReference w:type="default" r:id="rId13"/>
      <w:footerReference w:type="first" r:id="rId14"/>
      <w:pgSz w:w="11906" w:h="16838"/>
      <w:pgMar w:top="1276"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7872" w14:textId="77777777" w:rsidR="00F9702C" w:rsidRDefault="00F9702C" w:rsidP="00894C55">
      <w:pPr>
        <w:spacing w:after="0" w:line="240" w:lineRule="auto"/>
      </w:pPr>
      <w:r>
        <w:separator/>
      </w:r>
    </w:p>
  </w:endnote>
  <w:endnote w:type="continuationSeparator" w:id="0">
    <w:p w14:paraId="683A3A02" w14:textId="77777777" w:rsidR="00F9702C" w:rsidRDefault="00F970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F197" w14:textId="77777777" w:rsidR="00252B1F" w:rsidRPr="009A2654" w:rsidRDefault="00252B1F" w:rsidP="00252B1F">
    <w:pPr>
      <w:pStyle w:val="Footer"/>
      <w:rPr>
        <w:rFonts w:ascii="Times New Roman" w:hAnsi="Times New Roman" w:cs="Times New Roman"/>
        <w:sz w:val="20"/>
        <w:szCs w:val="20"/>
      </w:rPr>
    </w:pPr>
    <w:proofErr w:type="spellStart"/>
    <w:r>
      <w:rPr>
        <w:rFonts w:ascii="Times New Roman" w:hAnsi="Times New Roman" w:cs="Times New Roman"/>
        <w:sz w:val="20"/>
        <w:szCs w:val="20"/>
      </w:rPr>
      <w:t>AiManot_OCTA_SMT</w:t>
    </w:r>
    <w:proofErr w:type="spellEnd"/>
    <w:r>
      <w:rPr>
        <w:rFonts w:ascii="Times New Roman" w:hAnsi="Times New Roman" w:cs="Times New Roman"/>
        <w:sz w:val="20"/>
        <w:szCs w:val="20"/>
      </w:rPr>
      <w:t xml:space="preserve"> piekabes (TA-1325)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1E7A" w14:textId="65F4D2DE" w:rsidR="00F9702C" w:rsidRPr="009A2654" w:rsidRDefault="00F9702C">
    <w:pPr>
      <w:pStyle w:val="Footer"/>
      <w:rPr>
        <w:rFonts w:ascii="Times New Roman" w:hAnsi="Times New Roman" w:cs="Times New Roman"/>
        <w:sz w:val="20"/>
        <w:szCs w:val="20"/>
      </w:rPr>
    </w:pPr>
    <w:proofErr w:type="spellStart"/>
    <w:r>
      <w:rPr>
        <w:rFonts w:ascii="Times New Roman" w:hAnsi="Times New Roman" w:cs="Times New Roman"/>
        <w:sz w:val="20"/>
        <w:szCs w:val="20"/>
      </w:rPr>
      <w:t>AiM</w:t>
    </w:r>
    <w:r w:rsidR="00915BBD">
      <w:rPr>
        <w:rFonts w:ascii="Times New Roman" w:hAnsi="Times New Roman" w:cs="Times New Roman"/>
        <w:sz w:val="20"/>
        <w:szCs w:val="20"/>
      </w:rPr>
      <w:t>a</w:t>
    </w:r>
    <w:r>
      <w:rPr>
        <w:rFonts w:ascii="Times New Roman" w:hAnsi="Times New Roman" w:cs="Times New Roman"/>
        <w:sz w:val="20"/>
        <w:szCs w:val="20"/>
      </w:rPr>
      <w:t>not_OCTA</w:t>
    </w:r>
    <w:r w:rsidR="00666E23">
      <w:rPr>
        <w:rFonts w:ascii="Times New Roman" w:hAnsi="Times New Roman" w:cs="Times New Roman"/>
        <w:sz w:val="20"/>
        <w:szCs w:val="20"/>
      </w:rPr>
      <w:t>_SMT</w:t>
    </w:r>
    <w:proofErr w:type="spellEnd"/>
    <w:r w:rsidR="00666E23">
      <w:rPr>
        <w:rFonts w:ascii="Times New Roman" w:hAnsi="Times New Roman" w:cs="Times New Roman"/>
        <w:sz w:val="20"/>
        <w:szCs w:val="20"/>
      </w:rPr>
      <w:t xml:space="preserve"> piekabe</w:t>
    </w:r>
    <w:r w:rsidR="00472481">
      <w:rPr>
        <w:rFonts w:ascii="Times New Roman" w:hAnsi="Times New Roman" w:cs="Times New Roman"/>
        <w:sz w:val="20"/>
        <w:szCs w:val="20"/>
      </w:rPr>
      <w:t>s</w:t>
    </w:r>
    <w:r w:rsidR="00252B1F">
      <w:rPr>
        <w:rFonts w:ascii="Times New Roman" w:hAnsi="Times New Roman" w:cs="Times New Roman"/>
        <w:sz w:val="20"/>
        <w:szCs w:val="20"/>
      </w:rPr>
      <w:t xml:space="preserve"> (TA-1325)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D7B5" w14:textId="77777777" w:rsidR="00F9702C" w:rsidRDefault="00F9702C" w:rsidP="00894C55">
      <w:pPr>
        <w:spacing w:after="0" w:line="240" w:lineRule="auto"/>
      </w:pPr>
      <w:r>
        <w:separator/>
      </w:r>
    </w:p>
  </w:footnote>
  <w:footnote w:type="continuationSeparator" w:id="0">
    <w:p w14:paraId="1A5C3925" w14:textId="77777777" w:rsidR="00F9702C" w:rsidRDefault="00F9702C" w:rsidP="00894C55">
      <w:pPr>
        <w:spacing w:after="0" w:line="240" w:lineRule="auto"/>
      </w:pPr>
      <w:r>
        <w:continuationSeparator/>
      </w:r>
    </w:p>
  </w:footnote>
  <w:footnote w:id="1">
    <w:p w14:paraId="3AD97757" w14:textId="77777777" w:rsidR="002C1BE4" w:rsidRPr="00666E23" w:rsidRDefault="002C1BE4" w:rsidP="002C1BE4">
      <w:pPr>
        <w:pStyle w:val="FootnoteText"/>
        <w:rPr>
          <w:rFonts w:ascii="Times New Roman" w:hAnsi="Times New Roman" w:cs="Times New Roman"/>
          <w:lang w:val="en-US"/>
        </w:rPr>
      </w:pPr>
      <w:r>
        <w:rPr>
          <w:rStyle w:val="FootnoteReference"/>
        </w:rPr>
        <w:footnoteRef/>
      </w:r>
      <w:r w:rsidRPr="00666E23">
        <w:rPr>
          <w:rFonts w:ascii="Times New Roman" w:hAnsi="Times New Roman" w:cs="Times New Roman"/>
        </w:rPr>
        <w:t>https://titania.saeima.lv/LIVS13/SaeimaLIVS13.nsf/webAll?SearchView&amp;Query=([NumberTxt]=967)&amp;SearchMax=0&amp;SearchOrder=4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415908"/>
      <w:docPartObj>
        <w:docPartGallery w:val="Page Numbers (Top of Page)"/>
        <w:docPartUnique/>
      </w:docPartObj>
    </w:sdtPr>
    <w:sdtEndPr>
      <w:rPr>
        <w:rFonts w:ascii="Times New Roman" w:hAnsi="Times New Roman" w:cs="Times New Roman"/>
        <w:noProof/>
        <w:sz w:val="24"/>
        <w:szCs w:val="20"/>
      </w:rPr>
    </w:sdtEndPr>
    <w:sdtContent>
      <w:p w14:paraId="6790A01A" w14:textId="3F6EFE96" w:rsidR="00F9702C" w:rsidRPr="00C25B49" w:rsidRDefault="00F970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2B1F">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36"/>
    <w:multiLevelType w:val="hybridMultilevel"/>
    <w:tmpl w:val="657497E0"/>
    <w:lvl w:ilvl="0" w:tplc="0092591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35599"/>
    <w:multiLevelType w:val="hybridMultilevel"/>
    <w:tmpl w:val="B05AFC66"/>
    <w:lvl w:ilvl="0" w:tplc="C50032A8">
      <w:start w:val="19"/>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0C0671EF"/>
    <w:multiLevelType w:val="hybridMultilevel"/>
    <w:tmpl w:val="AEA2F7FC"/>
    <w:lvl w:ilvl="0" w:tplc="948C49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003123"/>
    <w:multiLevelType w:val="hybridMultilevel"/>
    <w:tmpl w:val="1DDA9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F42304"/>
    <w:multiLevelType w:val="hybridMultilevel"/>
    <w:tmpl w:val="5498B84A"/>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C34D4"/>
    <w:multiLevelType w:val="hybridMultilevel"/>
    <w:tmpl w:val="D10A0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E55BAC"/>
    <w:multiLevelType w:val="hybridMultilevel"/>
    <w:tmpl w:val="4A3A26BA"/>
    <w:lvl w:ilvl="0" w:tplc="29FE50BC">
      <w:start w:val="1"/>
      <w:numFmt w:val="decimal"/>
      <w:lvlText w:val="%1)"/>
      <w:lvlJc w:val="left"/>
      <w:pPr>
        <w:ind w:left="897" w:hanging="360"/>
      </w:pPr>
      <w:rPr>
        <w:rFonts w:hint="default"/>
        <w:i w:val="0"/>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13" w15:restartNumberingAfterBreak="0">
    <w:nsid w:val="24F32B89"/>
    <w:multiLevelType w:val="hybridMultilevel"/>
    <w:tmpl w:val="E7E02316"/>
    <w:lvl w:ilvl="0" w:tplc="9B36DC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08E7664"/>
    <w:multiLevelType w:val="hybridMultilevel"/>
    <w:tmpl w:val="F7E4739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AA6BB4"/>
    <w:multiLevelType w:val="hybridMultilevel"/>
    <w:tmpl w:val="B77C803A"/>
    <w:lvl w:ilvl="0" w:tplc="5DD8AB28">
      <w:numFmt w:val="bullet"/>
      <w:lvlText w:val="-"/>
      <w:lvlJc w:val="left"/>
      <w:pPr>
        <w:ind w:left="753" w:hanging="360"/>
      </w:pPr>
      <w:rPr>
        <w:rFonts w:ascii="Times New Roman" w:eastAsiaTheme="minorHAnsi" w:hAnsi="Times New Roman" w:cs="Times New Roman" w:hint="default"/>
        <w:sz w:val="24"/>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7" w15:restartNumberingAfterBreak="0">
    <w:nsid w:val="470A1AD7"/>
    <w:multiLevelType w:val="hybridMultilevel"/>
    <w:tmpl w:val="47CCCF78"/>
    <w:lvl w:ilvl="0" w:tplc="A46893E6">
      <w:start w:val="6"/>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8" w15:restartNumberingAfterBreak="0">
    <w:nsid w:val="47764F2A"/>
    <w:multiLevelType w:val="hybridMultilevel"/>
    <w:tmpl w:val="6390138C"/>
    <w:lvl w:ilvl="0" w:tplc="85A48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8054ED"/>
    <w:multiLevelType w:val="hybridMultilevel"/>
    <w:tmpl w:val="4B7E6EB4"/>
    <w:lvl w:ilvl="0" w:tplc="04260011">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C73DBD"/>
    <w:multiLevelType w:val="hybridMultilevel"/>
    <w:tmpl w:val="0C50C66A"/>
    <w:lvl w:ilvl="0" w:tplc="1AA6BEC4">
      <w:start w:val="2"/>
      <w:numFmt w:val="bullet"/>
      <w:lvlText w:val="-"/>
      <w:lvlJc w:val="left"/>
      <w:pPr>
        <w:ind w:left="1014" w:hanging="360"/>
      </w:pPr>
      <w:rPr>
        <w:rFonts w:ascii="Times New Roman" w:eastAsiaTheme="minorHAnsi" w:hAnsi="Times New Roman" w:cs="Times New Roman" w:hint="default"/>
      </w:rPr>
    </w:lvl>
    <w:lvl w:ilvl="1" w:tplc="04260003" w:tentative="1">
      <w:start w:val="1"/>
      <w:numFmt w:val="bullet"/>
      <w:lvlText w:val="o"/>
      <w:lvlJc w:val="left"/>
      <w:pPr>
        <w:ind w:left="1734" w:hanging="360"/>
      </w:pPr>
      <w:rPr>
        <w:rFonts w:ascii="Courier New" w:hAnsi="Courier New" w:cs="Courier New" w:hint="default"/>
      </w:rPr>
    </w:lvl>
    <w:lvl w:ilvl="2" w:tplc="04260005" w:tentative="1">
      <w:start w:val="1"/>
      <w:numFmt w:val="bullet"/>
      <w:lvlText w:val=""/>
      <w:lvlJc w:val="left"/>
      <w:pPr>
        <w:ind w:left="2454" w:hanging="360"/>
      </w:pPr>
      <w:rPr>
        <w:rFonts w:ascii="Wingdings" w:hAnsi="Wingdings" w:hint="default"/>
      </w:rPr>
    </w:lvl>
    <w:lvl w:ilvl="3" w:tplc="04260001" w:tentative="1">
      <w:start w:val="1"/>
      <w:numFmt w:val="bullet"/>
      <w:lvlText w:val=""/>
      <w:lvlJc w:val="left"/>
      <w:pPr>
        <w:ind w:left="3174" w:hanging="360"/>
      </w:pPr>
      <w:rPr>
        <w:rFonts w:ascii="Symbol" w:hAnsi="Symbol" w:hint="default"/>
      </w:rPr>
    </w:lvl>
    <w:lvl w:ilvl="4" w:tplc="04260003" w:tentative="1">
      <w:start w:val="1"/>
      <w:numFmt w:val="bullet"/>
      <w:lvlText w:val="o"/>
      <w:lvlJc w:val="left"/>
      <w:pPr>
        <w:ind w:left="3894" w:hanging="360"/>
      </w:pPr>
      <w:rPr>
        <w:rFonts w:ascii="Courier New" w:hAnsi="Courier New" w:cs="Courier New" w:hint="default"/>
      </w:rPr>
    </w:lvl>
    <w:lvl w:ilvl="5" w:tplc="04260005" w:tentative="1">
      <w:start w:val="1"/>
      <w:numFmt w:val="bullet"/>
      <w:lvlText w:val=""/>
      <w:lvlJc w:val="left"/>
      <w:pPr>
        <w:ind w:left="4614" w:hanging="360"/>
      </w:pPr>
      <w:rPr>
        <w:rFonts w:ascii="Wingdings" w:hAnsi="Wingdings" w:hint="default"/>
      </w:rPr>
    </w:lvl>
    <w:lvl w:ilvl="6" w:tplc="04260001" w:tentative="1">
      <w:start w:val="1"/>
      <w:numFmt w:val="bullet"/>
      <w:lvlText w:val=""/>
      <w:lvlJc w:val="left"/>
      <w:pPr>
        <w:ind w:left="5334" w:hanging="360"/>
      </w:pPr>
      <w:rPr>
        <w:rFonts w:ascii="Symbol" w:hAnsi="Symbol" w:hint="default"/>
      </w:rPr>
    </w:lvl>
    <w:lvl w:ilvl="7" w:tplc="04260003" w:tentative="1">
      <w:start w:val="1"/>
      <w:numFmt w:val="bullet"/>
      <w:lvlText w:val="o"/>
      <w:lvlJc w:val="left"/>
      <w:pPr>
        <w:ind w:left="6054" w:hanging="360"/>
      </w:pPr>
      <w:rPr>
        <w:rFonts w:ascii="Courier New" w:hAnsi="Courier New" w:cs="Courier New" w:hint="default"/>
      </w:rPr>
    </w:lvl>
    <w:lvl w:ilvl="8" w:tplc="04260005" w:tentative="1">
      <w:start w:val="1"/>
      <w:numFmt w:val="bullet"/>
      <w:lvlText w:val=""/>
      <w:lvlJc w:val="left"/>
      <w:pPr>
        <w:ind w:left="6774" w:hanging="360"/>
      </w:pPr>
      <w:rPr>
        <w:rFonts w:ascii="Wingdings" w:hAnsi="Wingdings" w:hint="default"/>
      </w:rPr>
    </w:lvl>
  </w:abstractNum>
  <w:abstractNum w:abstractNumId="2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465DD"/>
    <w:multiLevelType w:val="hybridMultilevel"/>
    <w:tmpl w:val="0CFEA696"/>
    <w:lvl w:ilvl="0" w:tplc="8FF89EB4">
      <w:start w:val="1"/>
      <w:numFmt w:val="decimal"/>
      <w:lvlText w:val="%1)"/>
      <w:lvlJc w:val="left"/>
      <w:pPr>
        <w:ind w:left="795" w:hanging="360"/>
      </w:pPr>
      <w:rPr>
        <w:rFonts w:eastAsiaTheme="minorHAnsi" w:hint="default"/>
        <w:color w:val="auto"/>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1" w15:restartNumberingAfterBreak="0">
    <w:nsid w:val="63021585"/>
    <w:multiLevelType w:val="hybridMultilevel"/>
    <w:tmpl w:val="A13A9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6E70B55"/>
    <w:multiLevelType w:val="hybridMultilevel"/>
    <w:tmpl w:val="E0B2A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1B47AA"/>
    <w:multiLevelType w:val="hybridMultilevel"/>
    <w:tmpl w:val="A62C85BC"/>
    <w:lvl w:ilvl="0" w:tplc="7D36E452">
      <w:start w:val="1"/>
      <w:numFmt w:val="lowerLetter"/>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5B7F8C"/>
    <w:multiLevelType w:val="hybridMultilevel"/>
    <w:tmpl w:val="EF5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2041C"/>
    <w:multiLevelType w:val="hybridMultilevel"/>
    <w:tmpl w:val="83D060FC"/>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34"/>
  </w:num>
  <w:num w:numId="4">
    <w:abstractNumId w:val="0"/>
  </w:num>
  <w:num w:numId="5">
    <w:abstractNumId w:val="16"/>
  </w:num>
  <w:num w:numId="6">
    <w:abstractNumId w:val="15"/>
  </w:num>
  <w:num w:numId="7">
    <w:abstractNumId w:val="14"/>
  </w:num>
  <w:num w:numId="8">
    <w:abstractNumId w:val="29"/>
  </w:num>
  <w:num w:numId="9">
    <w:abstractNumId w:val="10"/>
  </w:num>
  <w:num w:numId="10">
    <w:abstractNumId w:val="6"/>
  </w:num>
  <w:num w:numId="11">
    <w:abstractNumId w:val="2"/>
  </w:num>
  <w:num w:numId="12">
    <w:abstractNumId w:val="22"/>
  </w:num>
  <w:num w:numId="13">
    <w:abstractNumId w:val="32"/>
  </w:num>
  <w:num w:numId="14">
    <w:abstractNumId w:val="19"/>
  </w:num>
  <w:num w:numId="15">
    <w:abstractNumId w:val="7"/>
  </w:num>
  <w:num w:numId="16">
    <w:abstractNumId w:val="20"/>
  </w:num>
  <w:num w:numId="17">
    <w:abstractNumId w:val="21"/>
  </w:num>
  <w:num w:numId="18">
    <w:abstractNumId w:val="26"/>
  </w:num>
  <w:num w:numId="19">
    <w:abstractNumId w:val="28"/>
  </w:num>
  <w:num w:numId="20">
    <w:abstractNumId w:val="30"/>
  </w:num>
  <w:num w:numId="21">
    <w:abstractNumId w:val="11"/>
  </w:num>
  <w:num w:numId="22">
    <w:abstractNumId w:val="23"/>
  </w:num>
  <w:num w:numId="23">
    <w:abstractNumId w:val="9"/>
  </w:num>
  <w:num w:numId="24">
    <w:abstractNumId w:val="1"/>
  </w:num>
  <w:num w:numId="25">
    <w:abstractNumId w:val="18"/>
  </w:num>
  <w:num w:numId="26">
    <w:abstractNumId w:val="31"/>
  </w:num>
  <w:num w:numId="27">
    <w:abstractNumId w:val="36"/>
  </w:num>
  <w:num w:numId="28">
    <w:abstractNumId w:val="33"/>
  </w:num>
  <w:num w:numId="29">
    <w:abstractNumId w:val="8"/>
  </w:num>
  <w:num w:numId="30">
    <w:abstractNumId w:val="35"/>
  </w:num>
  <w:num w:numId="31">
    <w:abstractNumId w:val="3"/>
  </w:num>
  <w:num w:numId="32">
    <w:abstractNumId w:val="17"/>
  </w:num>
  <w:num w:numId="33">
    <w:abstractNumId w:val="5"/>
  </w:num>
  <w:num w:numId="34">
    <w:abstractNumId w:val="12"/>
  </w:num>
  <w:num w:numId="35">
    <w:abstractNumId w:val="13"/>
  </w:num>
  <w:num w:numId="36">
    <w:abstractNumId w:val="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F85"/>
    <w:rsid w:val="0001268A"/>
    <w:rsid w:val="0001330B"/>
    <w:rsid w:val="00013E2D"/>
    <w:rsid w:val="0002445B"/>
    <w:rsid w:val="00033757"/>
    <w:rsid w:val="00036477"/>
    <w:rsid w:val="0004398C"/>
    <w:rsid w:val="000501A5"/>
    <w:rsid w:val="00052F5A"/>
    <w:rsid w:val="000642E3"/>
    <w:rsid w:val="00067FC2"/>
    <w:rsid w:val="00077CFE"/>
    <w:rsid w:val="0009398A"/>
    <w:rsid w:val="00096D80"/>
    <w:rsid w:val="000A1D79"/>
    <w:rsid w:val="000A4967"/>
    <w:rsid w:val="000A7D4F"/>
    <w:rsid w:val="000B1606"/>
    <w:rsid w:val="000B5339"/>
    <w:rsid w:val="000D00F7"/>
    <w:rsid w:val="000D6031"/>
    <w:rsid w:val="000D768D"/>
    <w:rsid w:val="000E2818"/>
    <w:rsid w:val="000E3403"/>
    <w:rsid w:val="000F4EA9"/>
    <w:rsid w:val="000F55F1"/>
    <w:rsid w:val="00110BA3"/>
    <w:rsid w:val="001177DA"/>
    <w:rsid w:val="0012296E"/>
    <w:rsid w:val="00123347"/>
    <w:rsid w:val="00126176"/>
    <w:rsid w:val="001323B6"/>
    <w:rsid w:val="00133A03"/>
    <w:rsid w:val="0016464F"/>
    <w:rsid w:val="0016665E"/>
    <w:rsid w:val="00172D10"/>
    <w:rsid w:val="00174AC8"/>
    <w:rsid w:val="00181434"/>
    <w:rsid w:val="00197525"/>
    <w:rsid w:val="001A16A3"/>
    <w:rsid w:val="001B1987"/>
    <w:rsid w:val="001B5049"/>
    <w:rsid w:val="001E51E8"/>
    <w:rsid w:val="001F06E4"/>
    <w:rsid w:val="001F4907"/>
    <w:rsid w:val="0021520C"/>
    <w:rsid w:val="002247A8"/>
    <w:rsid w:val="00226B37"/>
    <w:rsid w:val="00232532"/>
    <w:rsid w:val="002331C9"/>
    <w:rsid w:val="00236343"/>
    <w:rsid w:val="002378B9"/>
    <w:rsid w:val="00243426"/>
    <w:rsid w:val="0025045F"/>
    <w:rsid w:val="00252B1F"/>
    <w:rsid w:val="002570CE"/>
    <w:rsid w:val="00275442"/>
    <w:rsid w:val="00284111"/>
    <w:rsid w:val="002843E7"/>
    <w:rsid w:val="00290F1A"/>
    <w:rsid w:val="002926AC"/>
    <w:rsid w:val="00295C97"/>
    <w:rsid w:val="002A0E46"/>
    <w:rsid w:val="002B5DB7"/>
    <w:rsid w:val="002C099B"/>
    <w:rsid w:val="002C1096"/>
    <w:rsid w:val="002C1BE4"/>
    <w:rsid w:val="002C636B"/>
    <w:rsid w:val="002D211E"/>
    <w:rsid w:val="002E1C05"/>
    <w:rsid w:val="002F548F"/>
    <w:rsid w:val="002F587A"/>
    <w:rsid w:val="00321982"/>
    <w:rsid w:val="00324263"/>
    <w:rsid w:val="003264FD"/>
    <w:rsid w:val="00327CF4"/>
    <w:rsid w:val="003470D2"/>
    <w:rsid w:val="00364E18"/>
    <w:rsid w:val="00371CA0"/>
    <w:rsid w:val="00373F46"/>
    <w:rsid w:val="00385D65"/>
    <w:rsid w:val="00390CA5"/>
    <w:rsid w:val="003916FB"/>
    <w:rsid w:val="003A01DF"/>
    <w:rsid w:val="003B0BF9"/>
    <w:rsid w:val="003B18A4"/>
    <w:rsid w:val="003B2D97"/>
    <w:rsid w:val="003C2FF4"/>
    <w:rsid w:val="003D2892"/>
    <w:rsid w:val="003E0791"/>
    <w:rsid w:val="003E2E17"/>
    <w:rsid w:val="003F28AC"/>
    <w:rsid w:val="00400D32"/>
    <w:rsid w:val="00403A24"/>
    <w:rsid w:val="0041431F"/>
    <w:rsid w:val="004270CE"/>
    <w:rsid w:val="00435EC0"/>
    <w:rsid w:val="004454FE"/>
    <w:rsid w:val="00456E40"/>
    <w:rsid w:val="00470899"/>
    <w:rsid w:val="00471611"/>
    <w:rsid w:val="00471AA7"/>
    <w:rsid w:val="00471F27"/>
    <w:rsid w:val="00472481"/>
    <w:rsid w:val="00485147"/>
    <w:rsid w:val="00486161"/>
    <w:rsid w:val="00493271"/>
    <w:rsid w:val="00493883"/>
    <w:rsid w:val="00496B89"/>
    <w:rsid w:val="00497088"/>
    <w:rsid w:val="004C01DA"/>
    <w:rsid w:val="004C5517"/>
    <w:rsid w:val="004C5C4B"/>
    <w:rsid w:val="004D100F"/>
    <w:rsid w:val="004F02CA"/>
    <w:rsid w:val="004F7FCB"/>
    <w:rsid w:val="0050178F"/>
    <w:rsid w:val="0050327B"/>
    <w:rsid w:val="00503C1E"/>
    <w:rsid w:val="00504396"/>
    <w:rsid w:val="00520EE5"/>
    <w:rsid w:val="0052670F"/>
    <w:rsid w:val="00534B00"/>
    <w:rsid w:val="00546115"/>
    <w:rsid w:val="0056267B"/>
    <w:rsid w:val="00591618"/>
    <w:rsid w:val="005A29E7"/>
    <w:rsid w:val="005B0804"/>
    <w:rsid w:val="005B26F5"/>
    <w:rsid w:val="005C3C11"/>
    <w:rsid w:val="005C3C2B"/>
    <w:rsid w:val="005C6D10"/>
    <w:rsid w:val="005D30A8"/>
    <w:rsid w:val="005D41EF"/>
    <w:rsid w:val="005D67E3"/>
    <w:rsid w:val="005E125B"/>
    <w:rsid w:val="005E5529"/>
    <w:rsid w:val="005F1B2C"/>
    <w:rsid w:val="0060207A"/>
    <w:rsid w:val="00603375"/>
    <w:rsid w:val="006069A6"/>
    <w:rsid w:val="00610828"/>
    <w:rsid w:val="006175D6"/>
    <w:rsid w:val="00632643"/>
    <w:rsid w:val="00636328"/>
    <w:rsid w:val="006368B4"/>
    <w:rsid w:val="00636B73"/>
    <w:rsid w:val="00645084"/>
    <w:rsid w:val="00655F2C"/>
    <w:rsid w:val="0065730B"/>
    <w:rsid w:val="00666E23"/>
    <w:rsid w:val="00671445"/>
    <w:rsid w:val="006758F0"/>
    <w:rsid w:val="0069490F"/>
    <w:rsid w:val="00697668"/>
    <w:rsid w:val="006A03CF"/>
    <w:rsid w:val="006B5160"/>
    <w:rsid w:val="006C0D20"/>
    <w:rsid w:val="006C546C"/>
    <w:rsid w:val="006D0F54"/>
    <w:rsid w:val="006D3D17"/>
    <w:rsid w:val="006D6E50"/>
    <w:rsid w:val="006E1081"/>
    <w:rsid w:val="006E18DE"/>
    <w:rsid w:val="006E79F0"/>
    <w:rsid w:val="006F1AD3"/>
    <w:rsid w:val="006F429F"/>
    <w:rsid w:val="006F6816"/>
    <w:rsid w:val="007052DE"/>
    <w:rsid w:val="00705D1D"/>
    <w:rsid w:val="00720585"/>
    <w:rsid w:val="0072475B"/>
    <w:rsid w:val="007272DC"/>
    <w:rsid w:val="00731C2A"/>
    <w:rsid w:val="00737646"/>
    <w:rsid w:val="007376AC"/>
    <w:rsid w:val="00743177"/>
    <w:rsid w:val="007468D6"/>
    <w:rsid w:val="00754A81"/>
    <w:rsid w:val="00767095"/>
    <w:rsid w:val="00773AF6"/>
    <w:rsid w:val="00774272"/>
    <w:rsid w:val="007763C4"/>
    <w:rsid w:val="0077728F"/>
    <w:rsid w:val="00785476"/>
    <w:rsid w:val="00795F71"/>
    <w:rsid w:val="007A00ED"/>
    <w:rsid w:val="007B26D1"/>
    <w:rsid w:val="007B3532"/>
    <w:rsid w:val="007B5B77"/>
    <w:rsid w:val="007C2F26"/>
    <w:rsid w:val="007C6A7B"/>
    <w:rsid w:val="007C7FCD"/>
    <w:rsid w:val="007D4107"/>
    <w:rsid w:val="007E0F04"/>
    <w:rsid w:val="007E3BA0"/>
    <w:rsid w:val="007E3FB8"/>
    <w:rsid w:val="007E5F7A"/>
    <w:rsid w:val="007E73AB"/>
    <w:rsid w:val="007F2F22"/>
    <w:rsid w:val="00801CC5"/>
    <w:rsid w:val="00803529"/>
    <w:rsid w:val="00816C11"/>
    <w:rsid w:val="0082283A"/>
    <w:rsid w:val="0082797D"/>
    <w:rsid w:val="0083097E"/>
    <w:rsid w:val="00842131"/>
    <w:rsid w:val="00845A76"/>
    <w:rsid w:val="00881198"/>
    <w:rsid w:val="00894C55"/>
    <w:rsid w:val="008A1D34"/>
    <w:rsid w:val="008A1EC0"/>
    <w:rsid w:val="008A43C3"/>
    <w:rsid w:val="008B3769"/>
    <w:rsid w:val="008E2B3E"/>
    <w:rsid w:val="008E6954"/>
    <w:rsid w:val="008F08BD"/>
    <w:rsid w:val="008F3588"/>
    <w:rsid w:val="008F59EE"/>
    <w:rsid w:val="008F7D70"/>
    <w:rsid w:val="00915BBD"/>
    <w:rsid w:val="00927BD3"/>
    <w:rsid w:val="00940714"/>
    <w:rsid w:val="0094130E"/>
    <w:rsid w:val="00947346"/>
    <w:rsid w:val="009655F7"/>
    <w:rsid w:val="009735E7"/>
    <w:rsid w:val="009739AE"/>
    <w:rsid w:val="009741C7"/>
    <w:rsid w:val="009752F5"/>
    <w:rsid w:val="0099107B"/>
    <w:rsid w:val="009A2654"/>
    <w:rsid w:val="009A7717"/>
    <w:rsid w:val="009B748F"/>
    <w:rsid w:val="009E4A8B"/>
    <w:rsid w:val="009E5636"/>
    <w:rsid w:val="00A01DCF"/>
    <w:rsid w:val="00A01DEA"/>
    <w:rsid w:val="00A04161"/>
    <w:rsid w:val="00A10FC3"/>
    <w:rsid w:val="00A1477E"/>
    <w:rsid w:val="00A31D77"/>
    <w:rsid w:val="00A6073E"/>
    <w:rsid w:val="00A61F67"/>
    <w:rsid w:val="00A62A5B"/>
    <w:rsid w:val="00A64299"/>
    <w:rsid w:val="00A663C2"/>
    <w:rsid w:val="00A808B6"/>
    <w:rsid w:val="00A80972"/>
    <w:rsid w:val="00A851B4"/>
    <w:rsid w:val="00A92493"/>
    <w:rsid w:val="00AA6D7C"/>
    <w:rsid w:val="00AB5681"/>
    <w:rsid w:val="00AC363D"/>
    <w:rsid w:val="00AC733B"/>
    <w:rsid w:val="00AD01F6"/>
    <w:rsid w:val="00AE01E7"/>
    <w:rsid w:val="00AE5567"/>
    <w:rsid w:val="00AE6CAF"/>
    <w:rsid w:val="00AF1239"/>
    <w:rsid w:val="00AF3D98"/>
    <w:rsid w:val="00B0375D"/>
    <w:rsid w:val="00B16480"/>
    <w:rsid w:val="00B2165C"/>
    <w:rsid w:val="00B27ED2"/>
    <w:rsid w:val="00B41EE2"/>
    <w:rsid w:val="00B41FED"/>
    <w:rsid w:val="00B5315A"/>
    <w:rsid w:val="00B5546F"/>
    <w:rsid w:val="00B6656A"/>
    <w:rsid w:val="00B71CCC"/>
    <w:rsid w:val="00B85A7A"/>
    <w:rsid w:val="00BA20AA"/>
    <w:rsid w:val="00BB09C4"/>
    <w:rsid w:val="00BB0B97"/>
    <w:rsid w:val="00BB23BB"/>
    <w:rsid w:val="00BD01DE"/>
    <w:rsid w:val="00BD215D"/>
    <w:rsid w:val="00BD4425"/>
    <w:rsid w:val="00BE37A7"/>
    <w:rsid w:val="00BF1459"/>
    <w:rsid w:val="00BF7C4F"/>
    <w:rsid w:val="00C01205"/>
    <w:rsid w:val="00C03B12"/>
    <w:rsid w:val="00C044E0"/>
    <w:rsid w:val="00C068DF"/>
    <w:rsid w:val="00C06B6A"/>
    <w:rsid w:val="00C2542A"/>
    <w:rsid w:val="00C25B49"/>
    <w:rsid w:val="00C27BAF"/>
    <w:rsid w:val="00C30CEE"/>
    <w:rsid w:val="00C42317"/>
    <w:rsid w:val="00C43825"/>
    <w:rsid w:val="00C50BCC"/>
    <w:rsid w:val="00C87670"/>
    <w:rsid w:val="00C91B89"/>
    <w:rsid w:val="00C92D18"/>
    <w:rsid w:val="00C9450C"/>
    <w:rsid w:val="00C94555"/>
    <w:rsid w:val="00CC0D2D"/>
    <w:rsid w:val="00CD1271"/>
    <w:rsid w:val="00CE5657"/>
    <w:rsid w:val="00CE686B"/>
    <w:rsid w:val="00D133F8"/>
    <w:rsid w:val="00D14A3E"/>
    <w:rsid w:val="00D16897"/>
    <w:rsid w:val="00D27185"/>
    <w:rsid w:val="00D4163A"/>
    <w:rsid w:val="00D44E77"/>
    <w:rsid w:val="00D47F90"/>
    <w:rsid w:val="00D66DD1"/>
    <w:rsid w:val="00D728D7"/>
    <w:rsid w:val="00D83558"/>
    <w:rsid w:val="00D83CD7"/>
    <w:rsid w:val="00D908C8"/>
    <w:rsid w:val="00DB10FA"/>
    <w:rsid w:val="00DB1464"/>
    <w:rsid w:val="00DB1CFB"/>
    <w:rsid w:val="00DB7F05"/>
    <w:rsid w:val="00DC4EA5"/>
    <w:rsid w:val="00DD15E0"/>
    <w:rsid w:val="00DD2034"/>
    <w:rsid w:val="00DE2353"/>
    <w:rsid w:val="00DE23F3"/>
    <w:rsid w:val="00DF1432"/>
    <w:rsid w:val="00E050CE"/>
    <w:rsid w:val="00E10EFA"/>
    <w:rsid w:val="00E22D28"/>
    <w:rsid w:val="00E24306"/>
    <w:rsid w:val="00E255C6"/>
    <w:rsid w:val="00E32324"/>
    <w:rsid w:val="00E3716B"/>
    <w:rsid w:val="00E41CB3"/>
    <w:rsid w:val="00E4342D"/>
    <w:rsid w:val="00E51B6B"/>
    <w:rsid w:val="00E5323B"/>
    <w:rsid w:val="00E55FDA"/>
    <w:rsid w:val="00E629A8"/>
    <w:rsid w:val="00E6602E"/>
    <w:rsid w:val="00E73D7A"/>
    <w:rsid w:val="00E8749E"/>
    <w:rsid w:val="00E90C01"/>
    <w:rsid w:val="00EA37C1"/>
    <w:rsid w:val="00EA486E"/>
    <w:rsid w:val="00EA7CA1"/>
    <w:rsid w:val="00EC17D2"/>
    <w:rsid w:val="00EC3234"/>
    <w:rsid w:val="00EC6101"/>
    <w:rsid w:val="00EC69BF"/>
    <w:rsid w:val="00F07D15"/>
    <w:rsid w:val="00F25AE9"/>
    <w:rsid w:val="00F35EC1"/>
    <w:rsid w:val="00F40F5A"/>
    <w:rsid w:val="00F53742"/>
    <w:rsid w:val="00F57B0C"/>
    <w:rsid w:val="00F9702C"/>
    <w:rsid w:val="00FB3569"/>
    <w:rsid w:val="00FC004A"/>
    <w:rsid w:val="00FC3182"/>
    <w:rsid w:val="00FC39B3"/>
    <w:rsid w:val="00FC4972"/>
    <w:rsid w:val="00FE02BE"/>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A811B6"/>
  <w15:docId w15:val="{E1C5A4EB-C485-49BD-B7F4-7856F7C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7B3532"/>
    <w:pPr>
      <w:keepNext/>
      <w:spacing w:after="0" w:line="240" w:lineRule="auto"/>
      <w:jc w:val="center"/>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532"/>
    <w:rPr>
      <w:rFonts w:ascii="Times New Roman" w:eastAsia="Calibri" w:hAnsi="Times New Roman" w:cs="Times New Roman"/>
      <w:b/>
      <w:bCs/>
      <w:sz w:val="28"/>
      <w:szCs w:val="28"/>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4">
    <w:name w:val="CM4"/>
    <w:basedOn w:val="Normal"/>
    <w:next w:val="Normal"/>
    <w:uiPriority w:val="99"/>
    <w:rsid w:val="00F25AE9"/>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semiHidden/>
    <w:unhideWhenUsed/>
    <w:rsid w:val="002F587A"/>
    <w:rPr>
      <w:sz w:val="16"/>
      <w:szCs w:val="16"/>
    </w:rPr>
  </w:style>
  <w:style w:type="paragraph" w:styleId="CommentText">
    <w:name w:val="annotation text"/>
    <w:basedOn w:val="Normal"/>
    <w:link w:val="CommentTextChar"/>
    <w:unhideWhenUsed/>
    <w:rsid w:val="002F587A"/>
    <w:pPr>
      <w:spacing w:line="240" w:lineRule="auto"/>
    </w:pPr>
    <w:rPr>
      <w:sz w:val="20"/>
      <w:szCs w:val="20"/>
    </w:rPr>
  </w:style>
  <w:style w:type="character" w:customStyle="1" w:styleId="CommentTextChar">
    <w:name w:val="Comment Text Char"/>
    <w:basedOn w:val="DefaultParagraphFont"/>
    <w:link w:val="CommentText"/>
    <w:rsid w:val="002F587A"/>
    <w:rPr>
      <w:sz w:val="20"/>
      <w:szCs w:val="20"/>
    </w:rPr>
  </w:style>
  <w:style w:type="paragraph" w:styleId="CommentSubject">
    <w:name w:val="annotation subject"/>
    <w:basedOn w:val="CommentText"/>
    <w:next w:val="CommentText"/>
    <w:link w:val="CommentSubjectChar"/>
    <w:semiHidden/>
    <w:unhideWhenUsed/>
    <w:rsid w:val="002F587A"/>
    <w:rPr>
      <w:b/>
      <w:bCs/>
    </w:rPr>
  </w:style>
  <w:style w:type="character" w:customStyle="1" w:styleId="CommentSubjectChar">
    <w:name w:val="Comment Subject Char"/>
    <w:basedOn w:val="CommentTextChar"/>
    <w:link w:val="CommentSubject"/>
    <w:uiPriority w:val="99"/>
    <w:semiHidden/>
    <w:rsid w:val="002F587A"/>
    <w:rPr>
      <w:b/>
      <w:bCs/>
      <w:sz w:val="20"/>
      <w:szCs w:val="20"/>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A37C1"/>
    <w:pPr>
      <w:ind w:left="720"/>
      <w:contextualSpacing/>
    </w:pPr>
  </w:style>
  <w:style w:type="paragraph" w:styleId="FootnoteText">
    <w:name w:val="footnote text"/>
    <w:basedOn w:val="Normal"/>
    <w:link w:val="FootnoteTextChar"/>
    <w:uiPriority w:val="99"/>
    <w:unhideWhenUsed/>
    <w:rsid w:val="009B748F"/>
    <w:pPr>
      <w:spacing w:after="0" w:line="240" w:lineRule="auto"/>
    </w:pPr>
    <w:rPr>
      <w:sz w:val="20"/>
      <w:szCs w:val="20"/>
    </w:rPr>
  </w:style>
  <w:style w:type="character" w:customStyle="1" w:styleId="FootnoteTextChar">
    <w:name w:val="Footnote Text Char"/>
    <w:basedOn w:val="DefaultParagraphFont"/>
    <w:link w:val="FootnoteText"/>
    <w:uiPriority w:val="99"/>
    <w:rsid w:val="009B748F"/>
    <w:rPr>
      <w:sz w:val="20"/>
      <w:szCs w:val="20"/>
    </w:rPr>
  </w:style>
  <w:style w:type="character" w:styleId="FootnoteReference">
    <w:name w:val="footnote reference"/>
    <w:basedOn w:val="DefaultParagraphFont"/>
    <w:uiPriority w:val="99"/>
    <w:unhideWhenUsed/>
    <w:rsid w:val="009B748F"/>
    <w:rPr>
      <w:vertAlign w:val="superscript"/>
    </w:rPr>
  </w:style>
  <w:style w:type="paragraph" w:styleId="NoSpacing">
    <w:name w:val="No Spacing"/>
    <w:qFormat/>
    <w:rsid w:val="00FC39B3"/>
    <w:pPr>
      <w:spacing w:after="0" w:line="240" w:lineRule="auto"/>
    </w:pPr>
  </w:style>
  <w:style w:type="character" w:customStyle="1" w:styleId="lbldescriptioncl">
    <w:name w:val="lbldescriptioncl"/>
    <w:basedOn w:val="DefaultParagraphFont"/>
    <w:rsid w:val="008F59EE"/>
  </w:style>
  <w:style w:type="character" w:styleId="Emphasis">
    <w:name w:val="Emphasis"/>
    <w:basedOn w:val="DefaultParagraphFont"/>
    <w:uiPriority w:val="20"/>
    <w:qFormat/>
    <w:rsid w:val="008F59EE"/>
    <w:rPr>
      <w:i/>
      <w:iCs/>
    </w:rPr>
  </w:style>
  <w:style w:type="paragraph" w:customStyle="1" w:styleId="naisf">
    <w:name w:val="naisf"/>
    <w:basedOn w:val="Normal"/>
    <w:rsid w:val="007B353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B353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7B3532"/>
    <w:pPr>
      <w:spacing w:before="75" w:after="75"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7B35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7B3532"/>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DocumentMapChar">
    <w:name w:val="Document Map Char"/>
    <w:basedOn w:val="DefaultParagraphFont"/>
    <w:link w:val="DocumentMap"/>
    <w:semiHidden/>
    <w:rsid w:val="007B3532"/>
    <w:rPr>
      <w:rFonts w:ascii="Tahoma" w:eastAsia="Times New Roman" w:hAnsi="Tahoma" w:cs="Tahoma"/>
      <w:sz w:val="20"/>
      <w:szCs w:val="20"/>
      <w:shd w:val="clear" w:color="auto" w:fill="000080"/>
      <w:lang w:eastAsia="lv-LV"/>
    </w:rPr>
  </w:style>
  <w:style w:type="paragraph" w:styleId="DocumentMap">
    <w:name w:val="Document Map"/>
    <w:basedOn w:val="Normal"/>
    <w:link w:val="DocumentMapChar"/>
    <w:semiHidden/>
    <w:rsid w:val="007B3532"/>
    <w:pPr>
      <w:shd w:val="clear" w:color="auto" w:fill="000080"/>
      <w:spacing w:after="0" w:line="240" w:lineRule="auto"/>
    </w:pPr>
    <w:rPr>
      <w:rFonts w:ascii="Tahoma" w:eastAsia="Times New Roman" w:hAnsi="Tahoma" w:cs="Tahoma"/>
      <w:sz w:val="20"/>
      <w:szCs w:val="20"/>
      <w:lang w:eastAsia="lv-LV"/>
    </w:rPr>
  </w:style>
  <w:style w:type="character" w:styleId="Strong">
    <w:name w:val="Strong"/>
    <w:uiPriority w:val="22"/>
    <w:qFormat/>
    <w:rsid w:val="007B3532"/>
    <w:rPr>
      <w:rFonts w:cs="Times New Roman"/>
      <w:b/>
      <w:bCs/>
    </w:rPr>
  </w:style>
  <w:style w:type="character" w:customStyle="1" w:styleId="BodyText3Char">
    <w:name w:val="Body Text 3 Char"/>
    <w:basedOn w:val="DefaultParagraphFont"/>
    <w:link w:val="BodyText3"/>
    <w:semiHidden/>
    <w:rsid w:val="007B3532"/>
    <w:rPr>
      <w:rFonts w:ascii="Times New Roman" w:eastAsia="Times New Roman" w:hAnsi="Times New Roman" w:cs="Times New Roman"/>
      <w:sz w:val="16"/>
      <w:szCs w:val="16"/>
      <w:lang w:val="en-GB"/>
    </w:rPr>
  </w:style>
  <w:style w:type="paragraph" w:styleId="BodyText3">
    <w:name w:val="Body Text 3"/>
    <w:basedOn w:val="Normal"/>
    <w:link w:val="BodyText3Char"/>
    <w:semiHidden/>
    <w:rsid w:val="007B3532"/>
    <w:pPr>
      <w:spacing w:after="120" w:line="240" w:lineRule="auto"/>
    </w:pPr>
    <w:rPr>
      <w:rFonts w:ascii="Times New Roman" w:eastAsia="Times New Roman" w:hAnsi="Times New Roman" w:cs="Times New Roman"/>
      <w:sz w:val="16"/>
      <w:szCs w:val="16"/>
      <w:lang w:val="en-GB"/>
    </w:rPr>
  </w:style>
  <w:style w:type="character" w:customStyle="1" w:styleId="BodyText2Char">
    <w:name w:val="Body Text 2 Char"/>
    <w:basedOn w:val="DefaultParagraphFont"/>
    <w:link w:val="BodyText2"/>
    <w:semiHidden/>
    <w:rsid w:val="007B3532"/>
    <w:rPr>
      <w:rFonts w:ascii="Times New Roman" w:eastAsia="Times New Roman" w:hAnsi="Times New Roman" w:cs="Times New Roman"/>
      <w:sz w:val="24"/>
      <w:szCs w:val="24"/>
      <w:lang w:eastAsia="lv-LV"/>
    </w:rPr>
  </w:style>
  <w:style w:type="paragraph" w:styleId="BodyText2">
    <w:name w:val="Body Text 2"/>
    <w:basedOn w:val="Normal"/>
    <w:link w:val="BodyText2Char"/>
    <w:semiHidden/>
    <w:rsid w:val="007B3532"/>
    <w:pPr>
      <w:spacing w:after="120" w:line="48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7B353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7B3532"/>
    <w:pPr>
      <w:spacing w:after="120" w:line="240" w:lineRule="auto"/>
      <w:ind w:firstLine="432"/>
      <w:jc w:val="both"/>
    </w:pPr>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semiHidden/>
    <w:rsid w:val="007B3532"/>
    <w:rPr>
      <w:rFonts w:ascii="Times New Roman" w:eastAsia="Times New Roman" w:hAnsi="Times New Roman" w:cs="Times New Roman"/>
      <w:bCs/>
      <w:sz w:val="24"/>
      <w:szCs w:val="24"/>
      <w:lang w:eastAsia="lv-LV"/>
    </w:rPr>
  </w:style>
  <w:style w:type="paragraph" w:styleId="BodyTextIndent3">
    <w:name w:val="Body Text Indent 3"/>
    <w:basedOn w:val="Normal"/>
    <w:link w:val="BodyTextIndent3Char"/>
    <w:semiHidden/>
    <w:rsid w:val="007B3532"/>
    <w:pPr>
      <w:spacing w:after="0" w:line="240" w:lineRule="auto"/>
      <w:ind w:firstLine="431"/>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rsid w:val="007B3532"/>
    <w:rPr>
      <w:rFonts w:ascii="Times New Roman" w:eastAsia="Times New Roman" w:hAnsi="Times New Roman" w:cs="Times New Roman"/>
      <w:sz w:val="24"/>
      <w:szCs w:val="24"/>
      <w:lang w:val="x-none" w:eastAsia="x-none"/>
    </w:rPr>
  </w:style>
  <w:style w:type="paragraph" w:styleId="BodyText">
    <w:name w:val="Body Text"/>
    <w:basedOn w:val="Normal"/>
    <w:link w:val="BodyTextChar"/>
    <w:unhideWhenUsed/>
    <w:rsid w:val="007B3532"/>
    <w:pPr>
      <w:spacing w:after="120" w:line="240" w:lineRule="auto"/>
    </w:pPr>
    <w:rPr>
      <w:rFonts w:ascii="Times New Roman" w:eastAsia="Times New Roman" w:hAnsi="Times New Roman" w:cs="Times New Roman"/>
      <w:sz w:val="24"/>
      <w:szCs w:val="24"/>
      <w:lang w:val="x-none" w:eastAsia="x-none"/>
    </w:rPr>
  </w:style>
  <w:style w:type="paragraph" w:customStyle="1" w:styleId="tv213">
    <w:name w:val="tv213"/>
    <w:basedOn w:val="Normal"/>
    <w:rsid w:val="000E34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727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zvabri">
    <w:name w:val="zvabri"/>
    <w:basedOn w:val="Normal"/>
    <w:uiPriority w:val="99"/>
    <w:rsid w:val="00D4163A"/>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styleId="Revision">
    <w:name w:val="Revision"/>
    <w:hidden/>
    <w:uiPriority w:val="99"/>
    <w:semiHidden/>
    <w:rsid w:val="0021520C"/>
    <w:pPr>
      <w:spacing w:after="0" w:line="240" w:lineRule="auto"/>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71AA7"/>
  </w:style>
  <w:style w:type="paragraph" w:styleId="NormalWeb">
    <w:name w:val="Normal (Web)"/>
    <w:basedOn w:val="Normal"/>
    <w:uiPriority w:val="99"/>
    <w:semiHidden/>
    <w:unhideWhenUsed/>
    <w:rsid w:val="00F970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BE37A7"/>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7014">
      <w:bodyDiv w:val="1"/>
      <w:marLeft w:val="0"/>
      <w:marRight w:val="0"/>
      <w:marTop w:val="0"/>
      <w:marBottom w:val="0"/>
      <w:divBdr>
        <w:top w:val="none" w:sz="0" w:space="0" w:color="auto"/>
        <w:left w:val="none" w:sz="0" w:space="0" w:color="auto"/>
        <w:bottom w:val="none" w:sz="0" w:space="0" w:color="auto"/>
        <w:right w:val="none" w:sz="0" w:space="0" w:color="auto"/>
      </w:divBdr>
    </w:div>
    <w:div w:id="16806578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1506920">
      <w:bodyDiv w:val="1"/>
      <w:marLeft w:val="0"/>
      <w:marRight w:val="0"/>
      <w:marTop w:val="0"/>
      <w:marBottom w:val="0"/>
      <w:divBdr>
        <w:top w:val="none" w:sz="0" w:space="0" w:color="auto"/>
        <w:left w:val="none" w:sz="0" w:space="0" w:color="auto"/>
        <w:bottom w:val="none" w:sz="0" w:space="0" w:color="auto"/>
        <w:right w:val="none" w:sz="0" w:space="0" w:color="auto"/>
      </w:divBdr>
    </w:div>
    <w:div w:id="472214541">
      <w:bodyDiv w:val="1"/>
      <w:marLeft w:val="0"/>
      <w:marRight w:val="0"/>
      <w:marTop w:val="0"/>
      <w:marBottom w:val="0"/>
      <w:divBdr>
        <w:top w:val="none" w:sz="0" w:space="0" w:color="auto"/>
        <w:left w:val="none" w:sz="0" w:space="0" w:color="auto"/>
        <w:bottom w:val="none" w:sz="0" w:space="0" w:color="auto"/>
        <w:right w:val="none" w:sz="0" w:space="0" w:color="auto"/>
      </w:divBdr>
    </w:div>
    <w:div w:id="505678746">
      <w:bodyDiv w:val="1"/>
      <w:marLeft w:val="0"/>
      <w:marRight w:val="0"/>
      <w:marTop w:val="0"/>
      <w:marBottom w:val="0"/>
      <w:divBdr>
        <w:top w:val="none" w:sz="0" w:space="0" w:color="auto"/>
        <w:left w:val="none" w:sz="0" w:space="0" w:color="auto"/>
        <w:bottom w:val="none" w:sz="0" w:space="0" w:color="auto"/>
        <w:right w:val="none" w:sz="0" w:space="0" w:color="auto"/>
      </w:divBdr>
    </w:div>
    <w:div w:id="565258889">
      <w:bodyDiv w:val="1"/>
      <w:marLeft w:val="0"/>
      <w:marRight w:val="0"/>
      <w:marTop w:val="0"/>
      <w:marBottom w:val="0"/>
      <w:divBdr>
        <w:top w:val="none" w:sz="0" w:space="0" w:color="auto"/>
        <w:left w:val="none" w:sz="0" w:space="0" w:color="auto"/>
        <w:bottom w:val="none" w:sz="0" w:space="0" w:color="auto"/>
        <w:right w:val="none" w:sz="0" w:space="0" w:color="auto"/>
      </w:divBdr>
    </w:div>
    <w:div w:id="605843503">
      <w:bodyDiv w:val="1"/>
      <w:marLeft w:val="0"/>
      <w:marRight w:val="0"/>
      <w:marTop w:val="0"/>
      <w:marBottom w:val="0"/>
      <w:divBdr>
        <w:top w:val="none" w:sz="0" w:space="0" w:color="auto"/>
        <w:left w:val="none" w:sz="0" w:space="0" w:color="auto"/>
        <w:bottom w:val="none" w:sz="0" w:space="0" w:color="auto"/>
        <w:right w:val="none" w:sz="0" w:space="0" w:color="auto"/>
      </w:divBdr>
    </w:div>
    <w:div w:id="620116738">
      <w:bodyDiv w:val="1"/>
      <w:marLeft w:val="0"/>
      <w:marRight w:val="0"/>
      <w:marTop w:val="0"/>
      <w:marBottom w:val="0"/>
      <w:divBdr>
        <w:top w:val="none" w:sz="0" w:space="0" w:color="auto"/>
        <w:left w:val="none" w:sz="0" w:space="0" w:color="auto"/>
        <w:bottom w:val="none" w:sz="0" w:space="0" w:color="auto"/>
        <w:right w:val="none" w:sz="0" w:space="0" w:color="auto"/>
      </w:divBdr>
    </w:div>
    <w:div w:id="686250720">
      <w:bodyDiv w:val="1"/>
      <w:marLeft w:val="0"/>
      <w:marRight w:val="0"/>
      <w:marTop w:val="0"/>
      <w:marBottom w:val="0"/>
      <w:divBdr>
        <w:top w:val="none" w:sz="0" w:space="0" w:color="auto"/>
        <w:left w:val="none" w:sz="0" w:space="0" w:color="auto"/>
        <w:bottom w:val="none" w:sz="0" w:space="0" w:color="auto"/>
        <w:right w:val="none" w:sz="0" w:space="0" w:color="auto"/>
      </w:divBdr>
    </w:div>
    <w:div w:id="701976600">
      <w:bodyDiv w:val="1"/>
      <w:marLeft w:val="0"/>
      <w:marRight w:val="0"/>
      <w:marTop w:val="0"/>
      <w:marBottom w:val="0"/>
      <w:divBdr>
        <w:top w:val="none" w:sz="0" w:space="0" w:color="auto"/>
        <w:left w:val="none" w:sz="0" w:space="0" w:color="auto"/>
        <w:bottom w:val="none" w:sz="0" w:space="0" w:color="auto"/>
        <w:right w:val="none" w:sz="0" w:space="0" w:color="auto"/>
      </w:divBdr>
      <w:divsChild>
        <w:div w:id="740174253">
          <w:marLeft w:val="0"/>
          <w:marRight w:val="0"/>
          <w:marTop w:val="0"/>
          <w:marBottom w:val="0"/>
          <w:divBdr>
            <w:top w:val="none" w:sz="0" w:space="0" w:color="auto"/>
            <w:left w:val="none" w:sz="0" w:space="0" w:color="auto"/>
            <w:bottom w:val="none" w:sz="0" w:space="0" w:color="auto"/>
            <w:right w:val="none" w:sz="0" w:space="0" w:color="auto"/>
          </w:divBdr>
        </w:div>
        <w:div w:id="1665280908">
          <w:marLeft w:val="0"/>
          <w:marRight w:val="0"/>
          <w:marTop w:val="0"/>
          <w:marBottom w:val="0"/>
          <w:divBdr>
            <w:top w:val="none" w:sz="0" w:space="0" w:color="auto"/>
            <w:left w:val="none" w:sz="0" w:space="0" w:color="auto"/>
            <w:bottom w:val="none" w:sz="0" w:space="0" w:color="auto"/>
            <w:right w:val="none" w:sz="0" w:space="0" w:color="auto"/>
          </w:divBdr>
        </w:div>
      </w:divsChild>
    </w:div>
    <w:div w:id="735208278">
      <w:bodyDiv w:val="1"/>
      <w:marLeft w:val="0"/>
      <w:marRight w:val="0"/>
      <w:marTop w:val="0"/>
      <w:marBottom w:val="0"/>
      <w:divBdr>
        <w:top w:val="none" w:sz="0" w:space="0" w:color="auto"/>
        <w:left w:val="none" w:sz="0" w:space="0" w:color="auto"/>
        <w:bottom w:val="none" w:sz="0" w:space="0" w:color="auto"/>
        <w:right w:val="none" w:sz="0" w:space="0" w:color="auto"/>
      </w:divBdr>
    </w:div>
    <w:div w:id="964385033">
      <w:bodyDiv w:val="1"/>
      <w:marLeft w:val="0"/>
      <w:marRight w:val="0"/>
      <w:marTop w:val="0"/>
      <w:marBottom w:val="0"/>
      <w:divBdr>
        <w:top w:val="none" w:sz="0" w:space="0" w:color="auto"/>
        <w:left w:val="none" w:sz="0" w:space="0" w:color="auto"/>
        <w:bottom w:val="none" w:sz="0" w:space="0" w:color="auto"/>
        <w:right w:val="none" w:sz="0" w:space="0" w:color="auto"/>
      </w:divBdr>
    </w:div>
    <w:div w:id="1046026011">
      <w:bodyDiv w:val="1"/>
      <w:marLeft w:val="0"/>
      <w:marRight w:val="0"/>
      <w:marTop w:val="0"/>
      <w:marBottom w:val="0"/>
      <w:divBdr>
        <w:top w:val="none" w:sz="0" w:space="0" w:color="auto"/>
        <w:left w:val="none" w:sz="0" w:space="0" w:color="auto"/>
        <w:bottom w:val="none" w:sz="0" w:space="0" w:color="auto"/>
        <w:right w:val="none" w:sz="0" w:space="0" w:color="auto"/>
      </w:divBdr>
    </w:div>
    <w:div w:id="1199508563">
      <w:bodyDiv w:val="1"/>
      <w:marLeft w:val="0"/>
      <w:marRight w:val="0"/>
      <w:marTop w:val="0"/>
      <w:marBottom w:val="0"/>
      <w:divBdr>
        <w:top w:val="none" w:sz="0" w:space="0" w:color="auto"/>
        <w:left w:val="none" w:sz="0" w:space="0" w:color="auto"/>
        <w:bottom w:val="none" w:sz="0" w:space="0" w:color="auto"/>
        <w:right w:val="none" w:sz="0" w:space="0" w:color="auto"/>
      </w:divBdr>
    </w:div>
    <w:div w:id="13716140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6872032">
      <w:bodyDiv w:val="1"/>
      <w:marLeft w:val="0"/>
      <w:marRight w:val="0"/>
      <w:marTop w:val="0"/>
      <w:marBottom w:val="0"/>
      <w:divBdr>
        <w:top w:val="none" w:sz="0" w:space="0" w:color="auto"/>
        <w:left w:val="none" w:sz="0" w:space="0" w:color="auto"/>
        <w:bottom w:val="none" w:sz="0" w:space="0" w:color="auto"/>
        <w:right w:val="none" w:sz="0" w:space="0" w:color="auto"/>
      </w:divBdr>
    </w:div>
    <w:div w:id="1864783319">
      <w:bodyDiv w:val="1"/>
      <w:marLeft w:val="0"/>
      <w:marRight w:val="0"/>
      <w:marTop w:val="0"/>
      <w:marBottom w:val="0"/>
      <w:divBdr>
        <w:top w:val="none" w:sz="0" w:space="0" w:color="auto"/>
        <w:left w:val="none" w:sz="0" w:space="0" w:color="auto"/>
        <w:bottom w:val="none" w:sz="0" w:space="0" w:color="auto"/>
        <w:right w:val="none" w:sz="0" w:space="0" w:color="auto"/>
      </w:divBdr>
    </w:div>
    <w:div w:id="18780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75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balta@mo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d.gov.lv/lv/nozares-politika/sabiedribas-lidzdaliba/sabiedriskas-un-publiskas-apspriesanas" TargetMode="External"/><Relationship Id="rId4" Type="http://schemas.openxmlformats.org/officeDocument/2006/relationships/settings" Target="settings.xml"/><Relationship Id="rId9" Type="http://schemas.openxmlformats.org/officeDocument/2006/relationships/hyperlink" Target="https://likumi.lv/ta/id/875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092F-BF30-4450-91F8-0150FF4B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12473</Words>
  <Characters>7111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apdrošināšanas likumā” sākotnējās ietekmes novērtējuma ziņojums (anotācija)</vt:lpstr>
    </vt:vector>
  </TitlesOfParts>
  <Company>Aizsardzības ministrija</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apdrošināšanas likumā” sākotnējās ietekmes novērtējuma ziņojums (anotācija)</dc:title>
  <dc:subject>Anotācija</dc:subject>
  <dc:creator>Marina Baltā</dc:creator>
  <cp:keywords/>
  <dc:description/>
  <cp:lastModifiedBy>Anna Putāne</cp:lastModifiedBy>
  <cp:revision>7</cp:revision>
  <cp:lastPrinted>2019-07-24T06:41:00Z</cp:lastPrinted>
  <dcterms:created xsi:type="dcterms:W3CDTF">2021-05-25T11:58:00Z</dcterms:created>
  <dcterms:modified xsi:type="dcterms:W3CDTF">2021-06-28T07:18:00Z</dcterms:modified>
</cp:coreProperties>
</file>